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DD475E" w:rsidRDefault="00DA6E04" w:rsidP="00315627">
            <w:pPr>
              <w:pStyle w:val="Heading1"/>
              <w:rPr>
                <w:sz w:val="22"/>
                <w:szCs w:val="22"/>
              </w:rPr>
            </w:pPr>
            <w:r w:rsidRPr="00923353">
              <w:rPr>
                <w:sz w:val="22"/>
                <w:szCs w:val="22"/>
              </w:rPr>
              <w:t>MAB/</w:t>
            </w:r>
            <w:r w:rsidR="00E20AD5" w:rsidRPr="00923353">
              <w:rPr>
                <w:sz w:val="22"/>
                <w:szCs w:val="22"/>
              </w:rPr>
              <w:t>LJC</w:t>
            </w:r>
          </w:p>
          <w:p w:rsidR="00EF4C8E" w:rsidRDefault="00EF4C8E" w:rsidP="00EF4C8E"/>
          <w:p w:rsidR="00EF4C8E" w:rsidRDefault="00EF4C8E" w:rsidP="00EF4C8E"/>
          <w:p w:rsidR="00EF4C8E" w:rsidRDefault="00EF4C8E" w:rsidP="00EF4C8E">
            <w:pPr>
              <w:rPr>
                <w:rFonts w:ascii="Arial" w:hAnsi="Arial" w:cs="Arial"/>
                <w:sz w:val="24"/>
                <w:szCs w:val="24"/>
              </w:rPr>
            </w:pPr>
            <w:r>
              <w:rPr>
                <w:rFonts w:ascii="Arial" w:hAnsi="Arial" w:cs="Arial"/>
                <w:sz w:val="24"/>
                <w:szCs w:val="24"/>
              </w:rPr>
              <w:t>2 February 2018</w:t>
            </w:r>
          </w:p>
          <w:p w:rsidR="00EF4C8E" w:rsidRDefault="00EF4C8E" w:rsidP="00EF4C8E">
            <w:pPr>
              <w:rPr>
                <w:rFonts w:ascii="Arial" w:hAnsi="Arial" w:cs="Arial"/>
                <w:sz w:val="24"/>
                <w:szCs w:val="24"/>
              </w:rPr>
            </w:pPr>
          </w:p>
          <w:p w:rsidR="00EF4C8E" w:rsidRDefault="00EF4C8E" w:rsidP="00EF4C8E">
            <w:pPr>
              <w:rPr>
                <w:rFonts w:ascii="Arial" w:hAnsi="Arial" w:cs="Arial"/>
                <w:sz w:val="24"/>
                <w:szCs w:val="24"/>
              </w:rPr>
            </w:pPr>
            <w:r>
              <w:rPr>
                <w:rFonts w:ascii="Arial" w:hAnsi="Arial" w:cs="Arial"/>
                <w:sz w:val="24"/>
                <w:szCs w:val="24"/>
              </w:rPr>
              <w:t>Peter Marshall</w:t>
            </w:r>
          </w:p>
          <w:p w:rsidR="00EF4C8E" w:rsidRDefault="00EF4C8E" w:rsidP="00EF4C8E">
            <w:pPr>
              <w:rPr>
                <w:rFonts w:ascii="Arial" w:hAnsi="Arial" w:cs="Arial"/>
                <w:sz w:val="24"/>
                <w:szCs w:val="24"/>
              </w:rPr>
            </w:pPr>
            <w:r>
              <w:rPr>
                <w:rFonts w:ascii="Arial" w:hAnsi="Arial" w:cs="Arial"/>
                <w:sz w:val="24"/>
                <w:szCs w:val="24"/>
              </w:rPr>
              <w:t>Brenda Murray</w:t>
            </w:r>
          </w:p>
          <w:p w:rsidR="00EF4C8E" w:rsidRDefault="00EF4C8E" w:rsidP="00EF4C8E">
            <w:pPr>
              <w:rPr>
                <w:rFonts w:ascii="Arial" w:hAnsi="Arial" w:cs="Arial"/>
                <w:sz w:val="24"/>
                <w:szCs w:val="24"/>
              </w:rPr>
            </w:pPr>
            <w:r>
              <w:rPr>
                <w:rFonts w:ascii="Arial" w:hAnsi="Arial" w:cs="Arial"/>
                <w:sz w:val="24"/>
                <w:szCs w:val="24"/>
              </w:rPr>
              <w:t>Planning</w:t>
            </w:r>
          </w:p>
          <w:p w:rsidR="00EF4C8E" w:rsidRDefault="00EF4C8E" w:rsidP="00EF4C8E">
            <w:pPr>
              <w:rPr>
                <w:rFonts w:ascii="Arial" w:hAnsi="Arial" w:cs="Arial"/>
                <w:sz w:val="24"/>
                <w:szCs w:val="24"/>
              </w:rPr>
            </w:pPr>
            <w:r>
              <w:rPr>
                <w:rFonts w:ascii="Arial" w:hAnsi="Arial" w:cs="Arial"/>
                <w:sz w:val="24"/>
                <w:szCs w:val="24"/>
              </w:rPr>
              <w:t>Perth &amp; Kinross Council</w:t>
            </w:r>
          </w:p>
          <w:p w:rsidR="005F10FA" w:rsidRDefault="005F10FA" w:rsidP="00EF4C8E">
            <w:pPr>
              <w:rPr>
                <w:rFonts w:ascii="Arial" w:hAnsi="Arial" w:cs="Arial"/>
                <w:sz w:val="24"/>
                <w:szCs w:val="24"/>
              </w:rPr>
            </w:pPr>
            <w:proofErr w:type="spellStart"/>
            <w:r>
              <w:rPr>
                <w:rFonts w:ascii="Arial" w:hAnsi="Arial" w:cs="Arial"/>
                <w:sz w:val="24"/>
                <w:szCs w:val="24"/>
              </w:rPr>
              <w:t>Pullar</w:t>
            </w:r>
            <w:proofErr w:type="spellEnd"/>
            <w:r>
              <w:rPr>
                <w:rFonts w:ascii="Arial" w:hAnsi="Arial" w:cs="Arial"/>
                <w:sz w:val="24"/>
                <w:szCs w:val="24"/>
              </w:rPr>
              <w:t xml:space="preserve"> House</w:t>
            </w:r>
          </w:p>
          <w:p w:rsidR="005F10FA" w:rsidRDefault="005F10FA" w:rsidP="00EF4C8E">
            <w:pPr>
              <w:rPr>
                <w:rFonts w:ascii="Arial" w:hAnsi="Arial" w:cs="Arial"/>
                <w:sz w:val="24"/>
                <w:szCs w:val="24"/>
              </w:rPr>
            </w:pPr>
            <w:r>
              <w:rPr>
                <w:rFonts w:ascii="Arial" w:hAnsi="Arial" w:cs="Arial"/>
                <w:sz w:val="24"/>
                <w:szCs w:val="24"/>
              </w:rPr>
              <w:t xml:space="preserve">35 </w:t>
            </w:r>
            <w:proofErr w:type="spellStart"/>
            <w:r>
              <w:rPr>
                <w:rFonts w:ascii="Arial" w:hAnsi="Arial" w:cs="Arial"/>
                <w:sz w:val="24"/>
                <w:szCs w:val="24"/>
              </w:rPr>
              <w:t>Kinnoull</w:t>
            </w:r>
            <w:proofErr w:type="spellEnd"/>
            <w:r>
              <w:rPr>
                <w:rFonts w:ascii="Arial" w:hAnsi="Arial" w:cs="Arial"/>
                <w:sz w:val="24"/>
                <w:szCs w:val="24"/>
              </w:rPr>
              <w:t xml:space="preserve"> Street</w:t>
            </w:r>
          </w:p>
          <w:p w:rsidR="005F10FA" w:rsidRDefault="005F10FA" w:rsidP="00EF4C8E">
            <w:pPr>
              <w:rPr>
                <w:rFonts w:ascii="Arial" w:hAnsi="Arial" w:cs="Arial"/>
                <w:sz w:val="24"/>
                <w:szCs w:val="24"/>
              </w:rPr>
            </w:pPr>
            <w:r>
              <w:rPr>
                <w:rFonts w:ascii="Arial" w:hAnsi="Arial" w:cs="Arial"/>
                <w:sz w:val="24"/>
                <w:szCs w:val="24"/>
              </w:rPr>
              <w:t>PERTH</w:t>
            </w:r>
          </w:p>
          <w:p w:rsidR="005F10FA" w:rsidRDefault="005F10FA" w:rsidP="00EF4C8E">
            <w:pPr>
              <w:rPr>
                <w:rFonts w:ascii="Arial" w:hAnsi="Arial" w:cs="Arial"/>
                <w:sz w:val="24"/>
                <w:szCs w:val="24"/>
              </w:rPr>
            </w:pPr>
            <w:r>
              <w:rPr>
                <w:rFonts w:ascii="Arial" w:hAnsi="Arial" w:cs="Arial"/>
                <w:sz w:val="24"/>
                <w:szCs w:val="24"/>
              </w:rPr>
              <w:t>PH1 5GD</w:t>
            </w:r>
          </w:p>
          <w:p w:rsidR="00EF4C8E" w:rsidRPr="00EF4C8E" w:rsidRDefault="00EF4C8E" w:rsidP="00EF4C8E">
            <w:pPr>
              <w:rPr>
                <w:rFonts w:ascii="Arial" w:hAnsi="Arial" w:cs="Arial"/>
                <w:sz w:val="24"/>
                <w:szCs w:val="24"/>
              </w:rPr>
            </w:pPr>
          </w:p>
          <w:p w:rsidR="00315627" w:rsidRDefault="00315627" w:rsidP="00315627"/>
          <w:p w:rsidR="00CC2AC0" w:rsidRPr="00923353" w:rsidRDefault="006C7601" w:rsidP="006C7601">
            <w:pPr>
              <w:rPr>
                <w:rFonts w:ascii="Arial" w:hAnsi="Arial"/>
                <w:sz w:val="22"/>
                <w:szCs w:val="22"/>
              </w:rPr>
            </w:pPr>
            <w:r w:rsidRPr="006C7601">
              <w:rPr>
                <w:rFonts w:ascii="Arial" w:hAnsi="Arial" w:cs="Arial"/>
                <w:sz w:val="22"/>
                <w:szCs w:val="22"/>
                <w:lang w:eastAsia="en-US"/>
              </w:rPr>
              <w:t xml:space="preserve">                                                                                                                                                                                </w:t>
            </w:r>
          </w:p>
          <w:p w:rsidR="00923353" w:rsidRPr="00923353" w:rsidRDefault="00923353" w:rsidP="00530F8B">
            <w:pPr>
              <w:rPr>
                <w:rFonts w:ascii="Arial" w:hAnsi="Arial"/>
                <w:sz w:val="22"/>
                <w:szCs w:val="22"/>
              </w:rPr>
            </w:pPr>
          </w:p>
        </w:tc>
        <w:tc>
          <w:tcPr>
            <w:tcW w:w="2301" w:type="dxa"/>
          </w:tcPr>
          <w:p w:rsidR="0093796B" w:rsidRPr="0093796B" w:rsidRDefault="0093796B" w:rsidP="0093796B">
            <w:pPr>
              <w:tabs>
                <w:tab w:val="left" w:pos="2220"/>
              </w:tabs>
              <w:rPr>
                <w:rFonts w:ascii="Arial" w:hAnsi="Arial" w:cs="Arial"/>
                <w:sz w:val="16"/>
              </w:rPr>
            </w:pPr>
            <w:r w:rsidRPr="0093796B">
              <w:rPr>
                <w:rFonts w:ascii="Arial" w:hAnsi="Arial" w:cs="Arial"/>
                <w:sz w:val="16"/>
              </w:rPr>
              <w:t>2 High Street</w:t>
            </w:r>
          </w:p>
          <w:p w:rsidR="0093796B" w:rsidRPr="0093796B" w:rsidRDefault="0093796B" w:rsidP="0093796B">
            <w:pPr>
              <w:tabs>
                <w:tab w:val="left" w:pos="2220"/>
              </w:tabs>
              <w:rPr>
                <w:rFonts w:ascii="Arial" w:hAnsi="Arial" w:cs="Arial"/>
                <w:sz w:val="16"/>
              </w:rPr>
            </w:pPr>
            <w:r w:rsidRPr="0093796B">
              <w:rPr>
                <w:rFonts w:ascii="Arial" w:hAnsi="Arial" w:cs="Arial"/>
                <w:sz w:val="16"/>
              </w:rPr>
              <w:t>Perth</w:t>
            </w:r>
          </w:p>
          <w:p w:rsidR="0093796B" w:rsidRPr="0093796B" w:rsidRDefault="0093796B" w:rsidP="0093796B">
            <w:pPr>
              <w:tabs>
                <w:tab w:val="left" w:pos="2220"/>
              </w:tabs>
              <w:rPr>
                <w:rFonts w:ascii="Arial" w:hAnsi="Arial" w:cs="Arial"/>
                <w:sz w:val="16"/>
              </w:rPr>
            </w:pPr>
            <w:r w:rsidRPr="0093796B">
              <w:rPr>
                <w:rFonts w:ascii="Arial" w:hAnsi="Arial" w:cs="Arial"/>
                <w:sz w:val="16"/>
              </w:rPr>
              <w:t>PH1 5PH</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9"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751EB1" w:rsidP="008B1264">
            <w:pPr>
              <w:rPr>
                <w:rFonts w:ascii="Arial" w:hAnsi="Arial"/>
                <w:sz w:val="16"/>
              </w:rPr>
            </w:pPr>
            <w:hyperlink r:id="rId10"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Moorend</w:t>
            </w:r>
          </w:p>
          <w:p w:rsidR="00E20AD5" w:rsidRDefault="00E20AD5" w:rsidP="008B1264">
            <w:pPr>
              <w:rPr>
                <w:rFonts w:ascii="Arial" w:hAnsi="Arial"/>
                <w:sz w:val="16"/>
              </w:rPr>
            </w:pPr>
            <w:r>
              <w:rPr>
                <w:rFonts w:ascii="Arial" w:hAnsi="Arial"/>
                <w:sz w:val="16"/>
              </w:rPr>
              <w:t>Wa</w:t>
            </w:r>
            <w:r w:rsidR="007C48E6">
              <w:rPr>
                <w:rFonts w:ascii="Arial" w:hAnsi="Arial"/>
                <w:sz w:val="16"/>
              </w:rPr>
              <w:t>u</w:t>
            </w:r>
            <w:r>
              <w:rPr>
                <w:rFonts w:ascii="Arial" w:hAnsi="Arial"/>
                <w:sz w:val="16"/>
              </w:rPr>
              <w:t>lkmill</w:t>
            </w:r>
            <w:r w:rsidR="00673E2A">
              <w:rPr>
                <w:rFonts w:ascii="Arial" w:hAnsi="Arial"/>
                <w:sz w:val="16"/>
              </w:rPr>
              <w:t xml:space="preserve"> Road</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530F8B" w:rsidRDefault="00530F8B">
      <w:pPr>
        <w:jc w:val="both"/>
        <w:rPr>
          <w:rFonts w:ascii="Arial" w:hAnsi="Arial"/>
          <w:sz w:val="24"/>
        </w:rPr>
      </w:pPr>
    </w:p>
    <w:p w:rsidR="000D682A" w:rsidRDefault="000D682A" w:rsidP="00A04718">
      <w:pPr>
        <w:jc w:val="both"/>
        <w:rPr>
          <w:rFonts w:ascii="Arial" w:hAnsi="Arial" w:cs="Arial"/>
          <w:sz w:val="22"/>
          <w:szCs w:val="22"/>
        </w:rPr>
      </w:pPr>
    </w:p>
    <w:p w:rsidR="00F929F0" w:rsidRDefault="004B25DA" w:rsidP="00B01FED">
      <w:pPr>
        <w:rPr>
          <w:rFonts w:ascii="Arial" w:eastAsiaTheme="minorHAnsi" w:hAnsi="Arial" w:cs="Arial"/>
          <w:sz w:val="24"/>
          <w:szCs w:val="24"/>
          <w:lang w:eastAsia="en-US"/>
        </w:rPr>
      </w:pPr>
      <w:r w:rsidRPr="004B25DA">
        <w:rPr>
          <w:rFonts w:ascii="Arial" w:eastAsiaTheme="minorHAnsi" w:hAnsi="Arial" w:cs="Arial"/>
          <w:sz w:val="24"/>
          <w:szCs w:val="24"/>
          <w:lang w:eastAsia="en-US"/>
        </w:rPr>
        <w:t xml:space="preserve">Dear </w:t>
      </w:r>
      <w:r w:rsidR="00774ED3">
        <w:rPr>
          <w:rFonts w:ascii="Arial" w:eastAsiaTheme="minorHAnsi" w:hAnsi="Arial" w:cs="Arial"/>
          <w:sz w:val="24"/>
          <w:szCs w:val="24"/>
          <w:lang w:eastAsia="en-US"/>
        </w:rPr>
        <w:t>Colleagues</w:t>
      </w:r>
    </w:p>
    <w:p w:rsidR="00774ED3" w:rsidRDefault="00774ED3" w:rsidP="00B01FED">
      <w:pPr>
        <w:rPr>
          <w:rFonts w:ascii="Arial" w:eastAsiaTheme="minorHAnsi" w:hAnsi="Arial" w:cs="Arial"/>
          <w:sz w:val="24"/>
          <w:szCs w:val="24"/>
          <w:lang w:eastAsia="en-US"/>
        </w:rPr>
      </w:pPr>
    </w:p>
    <w:p w:rsidR="00774ED3" w:rsidRDefault="00774ED3"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Local Development Plan 2 – Proposed Plan 2017</w:t>
      </w:r>
    </w:p>
    <w:p w:rsidR="00774ED3" w:rsidRDefault="00774ED3" w:rsidP="007240C0">
      <w:pPr>
        <w:jc w:val="both"/>
        <w:rPr>
          <w:rFonts w:ascii="Arial" w:eastAsiaTheme="minorHAnsi" w:hAnsi="Arial" w:cs="Arial"/>
          <w:b/>
          <w:sz w:val="24"/>
          <w:szCs w:val="24"/>
          <w:lang w:eastAsia="en-US"/>
        </w:rPr>
      </w:pPr>
    </w:p>
    <w:p w:rsidR="00774ED3" w:rsidRDefault="00774ED3"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 write in formal representation on the above Plan but my comments should be seen in the context of background correspondence summarised, in particular my letters of 14</w:t>
      </w:r>
      <w:r w:rsidRPr="00774ED3">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July, 31</w:t>
      </w:r>
      <w:r w:rsidRPr="00774ED3">
        <w:rPr>
          <w:rFonts w:ascii="Arial" w:eastAsiaTheme="minorHAnsi" w:hAnsi="Arial" w:cs="Arial"/>
          <w:sz w:val="24"/>
          <w:szCs w:val="24"/>
          <w:vertAlign w:val="superscript"/>
          <w:lang w:eastAsia="en-US"/>
        </w:rPr>
        <w:t>St</w:t>
      </w:r>
      <w:r>
        <w:rPr>
          <w:rFonts w:ascii="Arial" w:eastAsiaTheme="minorHAnsi" w:hAnsi="Arial" w:cs="Arial"/>
          <w:sz w:val="24"/>
          <w:szCs w:val="24"/>
          <w:lang w:eastAsia="en-US"/>
        </w:rPr>
        <w:t xml:space="preserve"> August</w:t>
      </w:r>
      <w:r w:rsidR="001945E7">
        <w:rPr>
          <w:rFonts w:ascii="Arial" w:eastAsiaTheme="minorHAnsi" w:hAnsi="Arial" w:cs="Arial"/>
          <w:sz w:val="24"/>
          <w:szCs w:val="24"/>
          <w:lang w:eastAsia="en-US"/>
        </w:rPr>
        <w:t xml:space="preserve"> </w:t>
      </w:r>
      <w:r>
        <w:rPr>
          <w:rFonts w:ascii="Arial" w:eastAsiaTheme="minorHAnsi" w:hAnsi="Arial" w:cs="Arial"/>
          <w:sz w:val="24"/>
          <w:szCs w:val="24"/>
          <w:lang w:eastAsia="en-US"/>
        </w:rPr>
        <w:t>2017 and discussions at the Kinross-shire Ward Forum of Community Councils, plus the subsequent short-life MOWG set up to address same, etc.</w:t>
      </w:r>
    </w:p>
    <w:p w:rsidR="00774ED3" w:rsidRDefault="00774ED3" w:rsidP="007240C0">
      <w:pPr>
        <w:jc w:val="both"/>
        <w:rPr>
          <w:rFonts w:ascii="Arial" w:eastAsiaTheme="minorHAnsi" w:hAnsi="Arial" w:cs="Arial"/>
          <w:sz w:val="24"/>
          <w:szCs w:val="24"/>
          <w:lang w:eastAsia="en-US"/>
        </w:rPr>
      </w:pPr>
    </w:p>
    <w:p w:rsidR="00774ED3" w:rsidRDefault="00DC2B7A"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INFRASTRUCTURE</w:t>
      </w:r>
    </w:p>
    <w:p w:rsidR="00DC2B7A" w:rsidRDefault="00DC2B7A" w:rsidP="007240C0">
      <w:pPr>
        <w:jc w:val="both"/>
        <w:rPr>
          <w:rFonts w:ascii="Arial" w:eastAsiaTheme="minorHAnsi" w:hAnsi="Arial" w:cs="Arial"/>
          <w:b/>
          <w:sz w:val="24"/>
          <w:szCs w:val="24"/>
          <w:lang w:eastAsia="en-US"/>
        </w:rPr>
      </w:pPr>
    </w:p>
    <w:p w:rsidR="00DC2B7A" w:rsidRDefault="00DC2B7A"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It is disappointing that a Kinross-shire section of the Plan (LDP2) in terms of Spacial Strategy has been dropped and settlements for the whole authority area listed alphabetically.  Where is the accompanying infrastructure report for the shire we were promised, I note only reference to a Kinross and Milnathort study!</w:t>
      </w:r>
    </w:p>
    <w:p w:rsidR="00DC2B7A" w:rsidRDefault="00DC2B7A" w:rsidP="007240C0">
      <w:pPr>
        <w:jc w:val="both"/>
        <w:rPr>
          <w:rFonts w:ascii="Arial" w:eastAsiaTheme="minorHAnsi" w:hAnsi="Arial" w:cs="Arial"/>
          <w:sz w:val="24"/>
          <w:szCs w:val="24"/>
          <w:lang w:eastAsia="en-US"/>
        </w:rPr>
      </w:pPr>
    </w:p>
    <w:p w:rsidR="00DC2B7A" w:rsidRDefault="00DC2B7A"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Would the Plan support identified parking areas within settlements during </w:t>
      </w:r>
      <w:r w:rsidR="003141F4">
        <w:rPr>
          <w:rFonts w:ascii="Arial" w:eastAsiaTheme="minorHAnsi" w:hAnsi="Arial" w:cs="Arial"/>
          <w:sz w:val="24"/>
          <w:szCs w:val="24"/>
          <w:lang w:eastAsia="en-US"/>
        </w:rPr>
        <w:t>it’s</w:t>
      </w:r>
      <w:r>
        <w:rPr>
          <w:rFonts w:ascii="Arial" w:eastAsiaTheme="minorHAnsi" w:hAnsi="Arial" w:cs="Arial"/>
          <w:sz w:val="24"/>
          <w:szCs w:val="24"/>
          <w:lang w:eastAsia="en-US"/>
        </w:rPr>
        <w:t>’ lifetime?</w:t>
      </w:r>
    </w:p>
    <w:p w:rsidR="00DC2B7A" w:rsidRDefault="00DC2B7A" w:rsidP="007240C0">
      <w:pPr>
        <w:jc w:val="both"/>
        <w:rPr>
          <w:rFonts w:ascii="Arial" w:eastAsiaTheme="minorHAnsi" w:hAnsi="Arial" w:cs="Arial"/>
          <w:sz w:val="24"/>
          <w:szCs w:val="24"/>
          <w:lang w:eastAsia="en-US"/>
        </w:rPr>
      </w:pPr>
    </w:p>
    <w:p w:rsidR="00DC2B7A" w:rsidRDefault="00DC2B7A"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Why is the supermarket site and neighbouring Park &amp; Ride not identified in the Kinross settlement? </w:t>
      </w:r>
    </w:p>
    <w:p w:rsidR="00DC2B7A" w:rsidRDefault="00DC2B7A" w:rsidP="007240C0">
      <w:pPr>
        <w:jc w:val="both"/>
        <w:rPr>
          <w:rFonts w:ascii="Arial" w:eastAsiaTheme="minorHAnsi" w:hAnsi="Arial" w:cs="Arial"/>
          <w:sz w:val="24"/>
          <w:szCs w:val="24"/>
          <w:lang w:eastAsia="en-US"/>
        </w:rPr>
      </w:pPr>
    </w:p>
    <w:p w:rsidR="00DC2B7A" w:rsidRDefault="00DC2B7A"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 lament the complete lack of reference to the need for mitigation measures for the Route </w:t>
      </w:r>
      <w:r w:rsidR="0090406E">
        <w:rPr>
          <w:rFonts w:ascii="Arial" w:eastAsiaTheme="minorHAnsi" w:hAnsi="Arial" w:cs="Arial"/>
          <w:sz w:val="24"/>
          <w:szCs w:val="24"/>
          <w:lang w:eastAsia="en-US"/>
        </w:rPr>
        <w:t>Action Plans for the A977, A9</w:t>
      </w:r>
      <w:r>
        <w:rPr>
          <w:rFonts w:ascii="Arial" w:eastAsiaTheme="minorHAnsi" w:hAnsi="Arial" w:cs="Arial"/>
          <w:sz w:val="24"/>
          <w:szCs w:val="24"/>
          <w:lang w:eastAsia="en-US"/>
        </w:rPr>
        <w:t>11 and B9097.</w:t>
      </w:r>
    </w:p>
    <w:p w:rsidR="00DC2B7A" w:rsidRDefault="00DC2B7A" w:rsidP="007240C0">
      <w:pPr>
        <w:jc w:val="both"/>
        <w:rPr>
          <w:rFonts w:ascii="Arial" w:eastAsiaTheme="minorHAnsi" w:hAnsi="Arial" w:cs="Arial"/>
          <w:sz w:val="24"/>
          <w:szCs w:val="24"/>
          <w:lang w:eastAsia="en-US"/>
        </w:rPr>
      </w:pPr>
    </w:p>
    <w:p w:rsidR="00DC2B7A" w:rsidRDefault="00DC2B7A"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There is no reference to the lack of </w:t>
      </w:r>
      <w:r w:rsidR="001314E0">
        <w:rPr>
          <w:rFonts w:ascii="Arial" w:eastAsiaTheme="minorHAnsi" w:hAnsi="Arial" w:cs="Arial"/>
          <w:sz w:val="24"/>
          <w:szCs w:val="24"/>
          <w:lang w:eastAsia="en-US"/>
        </w:rPr>
        <w:t>a rail</w:t>
      </w:r>
      <w:r>
        <w:rPr>
          <w:rFonts w:ascii="Arial" w:eastAsiaTheme="minorHAnsi" w:hAnsi="Arial" w:cs="Arial"/>
          <w:sz w:val="24"/>
          <w:szCs w:val="24"/>
          <w:lang w:eastAsia="en-US"/>
        </w:rPr>
        <w:t xml:space="preserve"> service in Kinross-shire, despite administration support.</w:t>
      </w:r>
    </w:p>
    <w:p w:rsidR="00DC2B7A" w:rsidRDefault="00DC2B7A" w:rsidP="007240C0">
      <w:pPr>
        <w:jc w:val="both"/>
        <w:rPr>
          <w:rFonts w:ascii="Arial" w:eastAsiaTheme="minorHAnsi" w:hAnsi="Arial" w:cs="Arial"/>
          <w:sz w:val="24"/>
          <w:szCs w:val="24"/>
          <w:lang w:eastAsia="en-US"/>
        </w:rPr>
      </w:pPr>
    </w:p>
    <w:p w:rsidR="00DC2B7A" w:rsidRDefault="00DC2B7A"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POLICIES</w:t>
      </w:r>
    </w:p>
    <w:p w:rsidR="00DC2B7A" w:rsidRDefault="00DC2B7A" w:rsidP="007240C0">
      <w:pPr>
        <w:jc w:val="both"/>
        <w:rPr>
          <w:rFonts w:ascii="Arial" w:eastAsiaTheme="minorHAnsi" w:hAnsi="Arial" w:cs="Arial"/>
          <w:b/>
          <w:sz w:val="24"/>
          <w:szCs w:val="24"/>
          <w:lang w:eastAsia="en-US"/>
        </w:rPr>
      </w:pPr>
    </w:p>
    <w:p w:rsidR="00DC2B7A" w:rsidRDefault="00DC2B7A"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 endorse/enclose the comments of Kinross-shire Civic Trust</w:t>
      </w:r>
      <w:r w:rsidR="00A942E9">
        <w:rPr>
          <w:rFonts w:ascii="Arial" w:eastAsiaTheme="minorHAnsi" w:hAnsi="Arial" w:cs="Arial"/>
          <w:sz w:val="24"/>
          <w:szCs w:val="24"/>
          <w:lang w:eastAsia="en-US"/>
        </w:rPr>
        <w:t xml:space="preserve"> and </w:t>
      </w:r>
      <w:proofErr w:type="spellStart"/>
      <w:r w:rsidR="00A942E9">
        <w:rPr>
          <w:rFonts w:ascii="Arial" w:eastAsiaTheme="minorHAnsi" w:hAnsi="Arial" w:cs="Arial"/>
          <w:sz w:val="24"/>
          <w:szCs w:val="24"/>
          <w:lang w:eastAsia="en-US"/>
        </w:rPr>
        <w:t>Cleish</w:t>
      </w:r>
      <w:proofErr w:type="spellEnd"/>
      <w:r w:rsidR="00A942E9">
        <w:rPr>
          <w:rFonts w:ascii="Arial" w:eastAsiaTheme="minorHAnsi" w:hAnsi="Arial" w:cs="Arial"/>
          <w:sz w:val="24"/>
          <w:szCs w:val="24"/>
          <w:lang w:eastAsia="en-US"/>
        </w:rPr>
        <w:t xml:space="preserve"> and </w:t>
      </w:r>
      <w:proofErr w:type="spellStart"/>
      <w:r w:rsidR="00A942E9">
        <w:rPr>
          <w:rFonts w:ascii="Arial" w:eastAsiaTheme="minorHAnsi" w:hAnsi="Arial" w:cs="Arial"/>
          <w:sz w:val="24"/>
          <w:szCs w:val="24"/>
          <w:lang w:eastAsia="en-US"/>
        </w:rPr>
        <w:t>Blairadam</w:t>
      </w:r>
      <w:proofErr w:type="spellEnd"/>
      <w:r w:rsidR="00A942E9">
        <w:rPr>
          <w:rFonts w:ascii="Arial" w:eastAsiaTheme="minorHAnsi" w:hAnsi="Arial" w:cs="Arial"/>
          <w:sz w:val="24"/>
          <w:szCs w:val="24"/>
          <w:lang w:eastAsia="en-US"/>
        </w:rPr>
        <w:t xml:space="preserve"> Community Council</w:t>
      </w:r>
      <w:r>
        <w:rPr>
          <w:rFonts w:ascii="Arial" w:eastAsiaTheme="minorHAnsi" w:hAnsi="Arial" w:cs="Arial"/>
          <w:sz w:val="24"/>
          <w:szCs w:val="24"/>
          <w:lang w:eastAsia="en-US"/>
        </w:rPr>
        <w:t xml:space="preserve"> in their letter</w:t>
      </w:r>
      <w:r w:rsidR="00A942E9">
        <w:rPr>
          <w:rFonts w:ascii="Arial" w:eastAsiaTheme="minorHAnsi" w:hAnsi="Arial" w:cs="Arial"/>
          <w:sz w:val="24"/>
          <w:szCs w:val="24"/>
          <w:lang w:eastAsia="en-US"/>
        </w:rPr>
        <w:t>s</w:t>
      </w:r>
      <w:r>
        <w:rPr>
          <w:rFonts w:ascii="Arial" w:eastAsiaTheme="minorHAnsi" w:hAnsi="Arial" w:cs="Arial"/>
          <w:sz w:val="24"/>
          <w:szCs w:val="24"/>
          <w:lang w:eastAsia="en-US"/>
        </w:rPr>
        <w:t xml:space="preserve"> of 25/1/18</w:t>
      </w:r>
      <w:r w:rsidR="00A942E9">
        <w:rPr>
          <w:rFonts w:ascii="Arial" w:eastAsiaTheme="minorHAnsi" w:hAnsi="Arial" w:cs="Arial"/>
          <w:sz w:val="24"/>
          <w:szCs w:val="24"/>
          <w:lang w:eastAsia="en-US"/>
        </w:rPr>
        <w:t xml:space="preserve"> and 31/1/18</w:t>
      </w:r>
      <w:r>
        <w:rPr>
          <w:rFonts w:ascii="Arial" w:eastAsiaTheme="minorHAnsi" w:hAnsi="Arial" w:cs="Arial"/>
          <w:sz w:val="24"/>
          <w:szCs w:val="24"/>
          <w:lang w:eastAsia="en-US"/>
        </w:rPr>
        <w:t>).</w:t>
      </w:r>
    </w:p>
    <w:p w:rsidR="00DC2B7A" w:rsidRDefault="00DC2B7A" w:rsidP="007240C0">
      <w:pPr>
        <w:jc w:val="both"/>
        <w:rPr>
          <w:rFonts w:ascii="Arial" w:eastAsiaTheme="minorHAnsi" w:hAnsi="Arial" w:cs="Arial"/>
          <w:sz w:val="24"/>
          <w:szCs w:val="24"/>
          <w:lang w:eastAsia="en-US"/>
        </w:rPr>
      </w:pPr>
      <w:r w:rsidRPr="003141F4">
        <w:rPr>
          <w:rFonts w:ascii="Arial" w:eastAsiaTheme="minorHAnsi" w:hAnsi="Arial" w:cs="Arial"/>
          <w:sz w:val="24"/>
          <w:szCs w:val="24"/>
          <w:lang w:eastAsia="en-US"/>
        </w:rPr>
        <w:lastRenderedPageBreak/>
        <w:t>2</w:t>
      </w:r>
    </w:p>
    <w:p w:rsidR="003141F4" w:rsidRPr="003141F4" w:rsidRDefault="003141F4" w:rsidP="007240C0">
      <w:pPr>
        <w:jc w:val="both"/>
        <w:rPr>
          <w:rFonts w:ascii="Arial" w:eastAsiaTheme="minorHAnsi" w:hAnsi="Arial" w:cs="Arial"/>
          <w:sz w:val="24"/>
          <w:szCs w:val="24"/>
          <w:lang w:eastAsia="en-US"/>
        </w:rPr>
      </w:pPr>
    </w:p>
    <w:p w:rsidR="00DC2B7A" w:rsidRDefault="00DC2B7A" w:rsidP="007240C0">
      <w:pPr>
        <w:jc w:val="both"/>
        <w:rPr>
          <w:rFonts w:ascii="Arial" w:eastAsiaTheme="minorHAnsi" w:hAnsi="Arial" w:cs="Arial"/>
          <w:b/>
          <w:sz w:val="24"/>
          <w:szCs w:val="24"/>
          <w:lang w:eastAsia="en-US"/>
        </w:rPr>
      </w:pPr>
    </w:p>
    <w:p w:rsidR="00DC2B7A" w:rsidRDefault="00DC2B7A" w:rsidP="007240C0">
      <w:pPr>
        <w:jc w:val="both"/>
        <w:rPr>
          <w:rFonts w:ascii="Arial" w:eastAsiaTheme="minorHAnsi" w:hAnsi="Arial" w:cs="Arial"/>
          <w:b/>
          <w:sz w:val="24"/>
          <w:szCs w:val="24"/>
          <w:lang w:eastAsia="en-US"/>
        </w:rPr>
      </w:pPr>
      <w:r w:rsidRPr="00DC2B7A">
        <w:rPr>
          <w:rFonts w:ascii="Arial" w:eastAsiaTheme="minorHAnsi" w:hAnsi="Arial" w:cs="Arial"/>
          <w:b/>
          <w:sz w:val="24"/>
          <w:szCs w:val="24"/>
          <w:lang w:eastAsia="en-US"/>
        </w:rPr>
        <w:t>10</w:t>
      </w:r>
      <w:r w:rsidRPr="00DC2B7A">
        <w:rPr>
          <w:rFonts w:ascii="Arial" w:eastAsiaTheme="minorHAnsi" w:hAnsi="Arial" w:cs="Arial"/>
          <w:b/>
          <w:sz w:val="24"/>
          <w:szCs w:val="24"/>
          <w:lang w:eastAsia="en-US"/>
        </w:rPr>
        <w:tab/>
        <w:t>Placemaking</w:t>
      </w:r>
    </w:p>
    <w:p w:rsidR="00DC2B7A" w:rsidRDefault="00DC2B7A"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Whilst welcoming a capacity range to address previous</w:t>
      </w:r>
      <w:r w:rsidR="00105952">
        <w:rPr>
          <w:rFonts w:ascii="Arial" w:eastAsiaTheme="minorHAnsi" w:hAnsi="Arial" w:cs="Arial"/>
          <w:sz w:val="24"/>
          <w:szCs w:val="24"/>
          <w:lang w:eastAsia="en-US"/>
        </w:rPr>
        <w:t xml:space="preserve"> concerns</w:t>
      </w:r>
      <w:r>
        <w:rPr>
          <w:rFonts w:ascii="Arial" w:eastAsiaTheme="minorHAnsi" w:hAnsi="Arial" w:cs="Arial"/>
          <w:sz w:val="24"/>
          <w:szCs w:val="24"/>
          <w:lang w:eastAsia="en-US"/>
        </w:rPr>
        <w:t>, I suspect it will be far too generous to the development sector.</w:t>
      </w:r>
    </w:p>
    <w:p w:rsidR="00DC2B7A" w:rsidRDefault="00DC2B7A" w:rsidP="007240C0">
      <w:pPr>
        <w:ind w:left="720"/>
        <w:jc w:val="both"/>
        <w:rPr>
          <w:rFonts w:ascii="Arial" w:eastAsiaTheme="minorHAnsi" w:hAnsi="Arial" w:cs="Arial"/>
          <w:sz w:val="24"/>
          <w:szCs w:val="24"/>
          <w:lang w:eastAsia="en-US"/>
        </w:rPr>
      </w:pPr>
    </w:p>
    <w:p w:rsidR="00DC2B7A" w:rsidRDefault="00DC2B7A"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6</w:t>
      </w:r>
      <w:r>
        <w:rPr>
          <w:rFonts w:ascii="Arial" w:eastAsiaTheme="minorHAnsi" w:hAnsi="Arial" w:cs="Arial"/>
          <w:b/>
          <w:sz w:val="24"/>
          <w:szCs w:val="24"/>
          <w:lang w:eastAsia="en-US"/>
        </w:rPr>
        <w:tab/>
        <w:t>Settlement Boundaries</w:t>
      </w:r>
    </w:p>
    <w:p w:rsidR="00DC2B7A" w:rsidRDefault="00DC2B7A" w:rsidP="007240C0">
      <w:pPr>
        <w:jc w:val="both"/>
        <w:rPr>
          <w:rFonts w:ascii="Arial" w:eastAsiaTheme="minorHAnsi" w:hAnsi="Arial" w:cs="Arial"/>
          <w:b/>
          <w:sz w:val="24"/>
          <w:szCs w:val="24"/>
          <w:lang w:eastAsia="en-US"/>
        </w:rPr>
      </w:pPr>
    </w:p>
    <w:p w:rsidR="00DC2B7A" w:rsidRDefault="00DC2B7A"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I regard the potential for exceptions on development as generous and open to breaches thereof; I feel they should be restricted to illustrations</w:t>
      </w:r>
      <w:r w:rsidR="000F6E36">
        <w:rPr>
          <w:rFonts w:ascii="Arial" w:eastAsiaTheme="minorHAnsi" w:hAnsi="Arial" w:cs="Arial"/>
          <w:sz w:val="24"/>
          <w:szCs w:val="24"/>
          <w:lang w:eastAsia="en-US"/>
        </w:rPr>
        <w:t xml:space="preserve"> of community benefit.</w:t>
      </w:r>
    </w:p>
    <w:p w:rsidR="000F6E36" w:rsidRDefault="000F6E36" w:rsidP="007240C0">
      <w:pPr>
        <w:ind w:left="720"/>
        <w:jc w:val="both"/>
        <w:rPr>
          <w:rFonts w:ascii="Arial" w:eastAsiaTheme="minorHAnsi" w:hAnsi="Arial" w:cs="Arial"/>
          <w:sz w:val="24"/>
          <w:szCs w:val="24"/>
          <w:lang w:eastAsia="en-US"/>
        </w:rPr>
      </w:pPr>
    </w:p>
    <w:p w:rsidR="000F6E36" w:rsidRDefault="000F6E36"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17</w:t>
      </w:r>
      <w:r>
        <w:rPr>
          <w:rFonts w:ascii="Arial" w:eastAsiaTheme="minorHAnsi" w:hAnsi="Arial" w:cs="Arial"/>
          <w:b/>
          <w:sz w:val="24"/>
          <w:szCs w:val="24"/>
          <w:lang w:eastAsia="en-US"/>
        </w:rPr>
        <w:tab/>
        <w:t>Residential Amenity</w:t>
      </w:r>
    </w:p>
    <w:p w:rsidR="000F6E36" w:rsidRDefault="000F6E36" w:rsidP="007240C0">
      <w:pPr>
        <w:jc w:val="both"/>
        <w:rPr>
          <w:rFonts w:ascii="Arial" w:eastAsiaTheme="minorHAnsi" w:hAnsi="Arial" w:cs="Arial"/>
          <w:b/>
          <w:sz w:val="24"/>
          <w:szCs w:val="24"/>
          <w:lang w:eastAsia="en-US"/>
        </w:rPr>
      </w:pPr>
    </w:p>
    <w:p w:rsidR="000F6E36" w:rsidRDefault="000F6E36"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The policy mentions improving that of existing residents and I feel this should be accorded more importance.</w:t>
      </w:r>
    </w:p>
    <w:p w:rsidR="000F6E36" w:rsidRDefault="000F6E36" w:rsidP="007240C0">
      <w:pPr>
        <w:jc w:val="both"/>
        <w:rPr>
          <w:rFonts w:ascii="Arial" w:eastAsiaTheme="minorHAnsi" w:hAnsi="Arial" w:cs="Arial"/>
          <w:sz w:val="24"/>
          <w:szCs w:val="24"/>
          <w:lang w:eastAsia="en-US"/>
        </w:rPr>
      </w:pPr>
    </w:p>
    <w:p w:rsidR="000F6E36" w:rsidRDefault="000F6E36"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Could we consider the creation of significant buffer zones between developments?</w:t>
      </w:r>
    </w:p>
    <w:p w:rsidR="000F6E36" w:rsidRDefault="000F6E36" w:rsidP="007240C0">
      <w:pPr>
        <w:ind w:left="720"/>
        <w:jc w:val="both"/>
        <w:rPr>
          <w:rFonts w:ascii="Arial" w:eastAsiaTheme="minorHAnsi" w:hAnsi="Arial" w:cs="Arial"/>
          <w:sz w:val="24"/>
          <w:szCs w:val="24"/>
          <w:lang w:eastAsia="en-US"/>
        </w:rPr>
      </w:pPr>
    </w:p>
    <w:p w:rsidR="000F6E36" w:rsidRDefault="000F6E36"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Could we also enhance the policy to give communities more time to protect ‘assets of community value’, such as garages and </w:t>
      </w:r>
      <w:r w:rsidR="009D4BAA">
        <w:rPr>
          <w:rFonts w:ascii="Arial" w:eastAsiaTheme="minorHAnsi" w:hAnsi="Arial" w:cs="Arial"/>
          <w:sz w:val="24"/>
          <w:szCs w:val="24"/>
          <w:lang w:eastAsia="en-US"/>
        </w:rPr>
        <w:t>hotels</w:t>
      </w:r>
      <w:r>
        <w:rPr>
          <w:rFonts w:ascii="Arial" w:eastAsiaTheme="minorHAnsi" w:hAnsi="Arial" w:cs="Arial"/>
          <w:sz w:val="24"/>
          <w:szCs w:val="24"/>
          <w:lang w:eastAsia="en-US"/>
        </w:rPr>
        <w:t xml:space="preserve">, giving more time for alternative proposals to </w:t>
      </w:r>
      <w:proofErr w:type="gramStart"/>
      <w:r>
        <w:rPr>
          <w:rFonts w:ascii="Arial" w:eastAsiaTheme="minorHAnsi" w:hAnsi="Arial" w:cs="Arial"/>
          <w:sz w:val="24"/>
          <w:szCs w:val="24"/>
          <w:lang w:eastAsia="en-US"/>
        </w:rPr>
        <w:t>germinate.</w:t>
      </w:r>
      <w:proofErr w:type="gramEnd"/>
    </w:p>
    <w:p w:rsidR="000F6E36" w:rsidRDefault="000F6E36" w:rsidP="007240C0">
      <w:pPr>
        <w:ind w:left="720"/>
        <w:jc w:val="both"/>
        <w:rPr>
          <w:rFonts w:ascii="Arial" w:eastAsiaTheme="minorHAnsi" w:hAnsi="Arial" w:cs="Arial"/>
          <w:sz w:val="24"/>
          <w:szCs w:val="24"/>
          <w:lang w:eastAsia="en-US"/>
        </w:rPr>
      </w:pPr>
    </w:p>
    <w:p w:rsidR="000F6E36" w:rsidRDefault="000F6E36"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19</w:t>
      </w:r>
      <w:r>
        <w:rPr>
          <w:rFonts w:ascii="Arial" w:eastAsiaTheme="minorHAnsi" w:hAnsi="Arial" w:cs="Arial"/>
          <w:b/>
          <w:sz w:val="24"/>
          <w:szCs w:val="24"/>
          <w:lang w:eastAsia="en-US"/>
        </w:rPr>
        <w:tab/>
        <w:t>Housing in the Countryside</w:t>
      </w:r>
    </w:p>
    <w:p w:rsidR="000F6E36" w:rsidRDefault="000F6E36" w:rsidP="007240C0">
      <w:pPr>
        <w:jc w:val="both"/>
        <w:rPr>
          <w:rFonts w:ascii="Arial" w:eastAsiaTheme="minorHAnsi" w:hAnsi="Arial" w:cs="Arial"/>
          <w:b/>
          <w:sz w:val="24"/>
          <w:szCs w:val="24"/>
          <w:lang w:eastAsia="en-US"/>
        </w:rPr>
      </w:pPr>
    </w:p>
    <w:p w:rsidR="000F6E36" w:rsidRDefault="000F6E36"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I maintain that planning at PKC don’t recognise the extent of windfall development in Kinross-shire, serving the Edinburgh market.</w:t>
      </w:r>
    </w:p>
    <w:p w:rsidR="000F6E36" w:rsidRDefault="000F6E36" w:rsidP="007240C0">
      <w:pPr>
        <w:ind w:left="720"/>
        <w:jc w:val="both"/>
        <w:rPr>
          <w:rFonts w:ascii="Arial" w:eastAsiaTheme="minorHAnsi" w:hAnsi="Arial" w:cs="Arial"/>
          <w:sz w:val="24"/>
          <w:szCs w:val="24"/>
          <w:lang w:eastAsia="en-US"/>
        </w:rPr>
      </w:pPr>
    </w:p>
    <w:p w:rsidR="000F6E36" w:rsidRDefault="000F6E36"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20</w:t>
      </w:r>
      <w:r>
        <w:rPr>
          <w:rFonts w:ascii="Arial" w:eastAsiaTheme="minorHAnsi" w:hAnsi="Arial" w:cs="Arial"/>
          <w:b/>
          <w:sz w:val="24"/>
          <w:szCs w:val="24"/>
          <w:lang w:eastAsia="en-US"/>
        </w:rPr>
        <w:tab/>
        <w:t>Affordable Housing</w:t>
      </w:r>
    </w:p>
    <w:p w:rsidR="000F6E36" w:rsidRDefault="000F6E36" w:rsidP="007240C0">
      <w:pPr>
        <w:jc w:val="both"/>
        <w:rPr>
          <w:rFonts w:ascii="Arial" w:eastAsiaTheme="minorHAnsi" w:hAnsi="Arial" w:cs="Arial"/>
          <w:b/>
          <w:sz w:val="24"/>
          <w:szCs w:val="24"/>
          <w:lang w:eastAsia="en-US"/>
        </w:rPr>
      </w:pPr>
    </w:p>
    <w:p w:rsidR="000F6E36" w:rsidRDefault="000F6E36"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LDP2 should recognise the need for appropriate provision in the rural villages, rather than just the tiered settlement development approach of Tayplan.</w:t>
      </w:r>
    </w:p>
    <w:p w:rsidR="000F6E36" w:rsidRDefault="000F6E36" w:rsidP="007240C0">
      <w:pPr>
        <w:ind w:left="720"/>
        <w:jc w:val="both"/>
        <w:rPr>
          <w:rFonts w:ascii="Arial" w:eastAsiaTheme="minorHAnsi" w:hAnsi="Arial" w:cs="Arial"/>
          <w:sz w:val="24"/>
          <w:szCs w:val="24"/>
          <w:lang w:eastAsia="en-US"/>
        </w:rPr>
      </w:pPr>
    </w:p>
    <w:p w:rsidR="000F6E36" w:rsidRDefault="000F6E36"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21</w:t>
      </w:r>
      <w:r>
        <w:rPr>
          <w:rFonts w:ascii="Arial" w:eastAsiaTheme="minorHAnsi" w:hAnsi="Arial" w:cs="Arial"/>
          <w:b/>
          <w:sz w:val="24"/>
          <w:szCs w:val="24"/>
          <w:lang w:eastAsia="en-US"/>
        </w:rPr>
        <w:tab/>
        <w:t>Gypsy/Traveller Sites</w:t>
      </w:r>
    </w:p>
    <w:p w:rsidR="000F6E36" w:rsidRDefault="000F6E36" w:rsidP="007240C0">
      <w:pPr>
        <w:jc w:val="both"/>
        <w:rPr>
          <w:rFonts w:ascii="Arial" w:eastAsiaTheme="minorHAnsi" w:hAnsi="Arial" w:cs="Arial"/>
          <w:b/>
          <w:sz w:val="24"/>
          <w:szCs w:val="24"/>
          <w:lang w:eastAsia="en-US"/>
        </w:rPr>
      </w:pPr>
    </w:p>
    <w:p w:rsidR="000F6E36" w:rsidRDefault="000F6E36"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I believe this policy is far too ‘open door’ and open to breaches thereof.  I refer you to my comments late</w:t>
      </w:r>
      <w:r w:rsidR="001903CA">
        <w:rPr>
          <w:rFonts w:ascii="Arial" w:eastAsiaTheme="minorHAnsi" w:hAnsi="Arial" w:cs="Arial"/>
          <w:sz w:val="24"/>
          <w:szCs w:val="24"/>
          <w:lang w:eastAsia="en-US"/>
        </w:rPr>
        <w:t>r</w:t>
      </w:r>
      <w:r>
        <w:rPr>
          <w:rFonts w:ascii="Arial" w:eastAsiaTheme="minorHAnsi" w:hAnsi="Arial" w:cs="Arial"/>
          <w:sz w:val="24"/>
          <w:szCs w:val="24"/>
          <w:lang w:eastAsia="en-US"/>
        </w:rPr>
        <w:t xml:space="preserve"> regarding the Crook Moss and </w:t>
      </w:r>
      <w:proofErr w:type="spellStart"/>
      <w:r>
        <w:rPr>
          <w:rFonts w:ascii="Arial" w:eastAsiaTheme="minorHAnsi" w:hAnsi="Arial" w:cs="Arial"/>
          <w:sz w:val="24"/>
          <w:szCs w:val="24"/>
          <w:lang w:eastAsia="en-US"/>
        </w:rPr>
        <w:t>Greenacres</w:t>
      </w:r>
      <w:proofErr w:type="spellEnd"/>
      <w:r>
        <w:rPr>
          <w:rFonts w:ascii="Arial" w:eastAsiaTheme="minorHAnsi" w:hAnsi="Arial" w:cs="Arial"/>
          <w:sz w:val="24"/>
          <w:szCs w:val="24"/>
          <w:lang w:eastAsia="en-US"/>
        </w:rPr>
        <w:t xml:space="preserve"> site</w:t>
      </w:r>
      <w:r w:rsidR="001903CA">
        <w:rPr>
          <w:rFonts w:ascii="Arial" w:eastAsiaTheme="minorHAnsi" w:hAnsi="Arial" w:cs="Arial"/>
          <w:sz w:val="24"/>
          <w:szCs w:val="24"/>
          <w:lang w:eastAsia="en-US"/>
        </w:rPr>
        <w:t>s</w:t>
      </w:r>
      <w:r>
        <w:rPr>
          <w:rFonts w:ascii="Arial" w:eastAsiaTheme="minorHAnsi" w:hAnsi="Arial" w:cs="Arial"/>
          <w:sz w:val="24"/>
          <w:szCs w:val="24"/>
          <w:lang w:eastAsia="en-US"/>
        </w:rPr>
        <w:t>!</w:t>
      </w:r>
    </w:p>
    <w:p w:rsidR="000F6E36" w:rsidRDefault="000F6E36" w:rsidP="007240C0">
      <w:pPr>
        <w:ind w:left="720"/>
        <w:jc w:val="both"/>
        <w:rPr>
          <w:rFonts w:ascii="Arial" w:eastAsiaTheme="minorHAnsi" w:hAnsi="Arial" w:cs="Arial"/>
          <w:sz w:val="24"/>
          <w:szCs w:val="24"/>
          <w:lang w:eastAsia="en-US"/>
        </w:rPr>
      </w:pPr>
    </w:p>
    <w:p w:rsidR="000F6E36" w:rsidRDefault="000F6E36"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28</w:t>
      </w:r>
      <w:r>
        <w:rPr>
          <w:rFonts w:ascii="Arial" w:eastAsiaTheme="minorHAnsi" w:hAnsi="Arial" w:cs="Arial"/>
          <w:b/>
          <w:sz w:val="24"/>
          <w:szCs w:val="24"/>
          <w:lang w:eastAsia="en-US"/>
        </w:rPr>
        <w:tab/>
        <w:t>Conservation Areas</w:t>
      </w:r>
    </w:p>
    <w:p w:rsidR="000F6E36" w:rsidRDefault="000F6E36" w:rsidP="007240C0">
      <w:pPr>
        <w:jc w:val="both"/>
        <w:rPr>
          <w:rFonts w:ascii="Arial" w:eastAsiaTheme="minorHAnsi" w:hAnsi="Arial" w:cs="Arial"/>
          <w:b/>
          <w:sz w:val="24"/>
          <w:szCs w:val="24"/>
          <w:lang w:eastAsia="en-US"/>
        </w:rPr>
      </w:pPr>
    </w:p>
    <w:p w:rsidR="000F6E36" w:rsidRDefault="000F6E36"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There is no mention of exploring new possibilities, contrary to national policy.  Would PKC respond to community led studies into the feasibility of designations, i.e. Keltybridge and Maryburgh?</w:t>
      </w:r>
    </w:p>
    <w:p w:rsidR="000F6E36" w:rsidRDefault="000F6E36" w:rsidP="007240C0">
      <w:pPr>
        <w:ind w:left="720"/>
        <w:jc w:val="both"/>
        <w:rPr>
          <w:rFonts w:ascii="Arial" w:eastAsiaTheme="minorHAnsi" w:hAnsi="Arial" w:cs="Arial"/>
          <w:sz w:val="24"/>
          <w:szCs w:val="24"/>
          <w:lang w:eastAsia="en-US"/>
        </w:rPr>
      </w:pPr>
    </w:p>
    <w:p w:rsidR="008E30B5" w:rsidRDefault="008E30B5" w:rsidP="007240C0">
      <w:pPr>
        <w:ind w:left="720" w:hanging="720"/>
        <w:jc w:val="both"/>
        <w:rPr>
          <w:rFonts w:ascii="Arial" w:eastAsiaTheme="minorHAnsi" w:hAnsi="Arial" w:cs="Arial"/>
          <w:b/>
          <w:sz w:val="24"/>
          <w:szCs w:val="24"/>
          <w:lang w:eastAsia="en-US"/>
        </w:rPr>
      </w:pPr>
    </w:p>
    <w:p w:rsidR="003141F4" w:rsidRDefault="008E30B5" w:rsidP="007240C0">
      <w:pPr>
        <w:ind w:left="720" w:hanging="720"/>
        <w:jc w:val="both"/>
        <w:rPr>
          <w:rFonts w:ascii="Arial" w:eastAsiaTheme="minorHAnsi" w:hAnsi="Arial" w:cs="Arial"/>
          <w:sz w:val="24"/>
          <w:szCs w:val="24"/>
          <w:lang w:eastAsia="en-US"/>
        </w:rPr>
      </w:pPr>
      <w:r>
        <w:rPr>
          <w:rFonts w:ascii="Arial" w:eastAsiaTheme="minorHAnsi" w:hAnsi="Arial" w:cs="Arial"/>
          <w:sz w:val="24"/>
          <w:szCs w:val="24"/>
          <w:lang w:eastAsia="en-US"/>
        </w:rPr>
        <w:tab/>
      </w:r>
    </w:p>
    <w:p w:rsidR="003141F4" w:rsidRDefault="003141F4" w:rsidP="007240C0">
      <w:pPr>
        <w:ind w:left="720" w:hanging="720"/>
        <w:jc w:val="both"/>
        <w:rPr>
          <w:rFonts w:ascii="Arial" w:eastAsiaTheme="minorHAnsi" w:hAnsi="Arial" w:cs="Arial"/>
          <w:sz w:val="24"/>
          <w:szCs w:val="24"/>
          <w:lang w:eastAsia="en-US"/>
        </w:rPr>
      </w:pPr>
    </w:p>
    <w:p w:rsidR="003141F4" w:rsidRDefault="003141F4" w:rsidP="007240C0">
      <w:pPr>
        <w:ind w:left="720" w:hanging="720"/>
        <w:jc w:val="both"/>
        <w:rPr>
          <w:rFonts w:ascii="Arial" w:eastAsiaTheme="minorHAnsi" w:hAnsi="Arial" w:cs="Arial"/>
          <w:sz w:val="24"/>
          <w:szCs w:val="24"/>
          <w:lang w:eastAsia="en-US"/>
        </w:rPr>
      </w:pPr>
    </w:p>
    <w:p w:rsidR="003141F4" w:rsidRDefault="003141F4" w:rsidP="007240C0">
      <w:pPr>
        <w:ind w:left="720" w:hanging="720"/>
        <w:jc w:val="both"/>
        <w:rPr>
          <w:rFonts w:ascii="Arial" w:eastAsiaTheme="minorHAnsi" w:hAnsi="Arial" w:cs="Arial"/>
          <w:sz w:val="24"/>
          <w:szCs w:val="24"/>
          <w:lang w:eastAsia="en-US"/>
        </w:rPr>
      </w:pPr>
    </w:p>
    <w:p w:rsidR="003141F4" w:rsidRDefault="003141F4" w:rsidP="007240C0">
      <w:pPr>
        <w:ind w:left="720" w:hanging="72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3</w:t>
      </w:r>
    </w:p>
    <w:p w:rsidR="003141F4" w:rsidRDefault="003141F4" w:rsidP="007240C0">
      <w:pPr>
        <w:ind w:left="720" w:hanging="720"/>
        <w:jc w:val="both"/>
        <w:rPr>
          <w:rFonts w:ascii="Arial" w:eastAsiaTheme="minorHAnsi" w:hAnsi="Arial" w:cs="Arial"/>
          <w:sz w:val="24"/>
          <w:szCs w:val="24"/>
          <w:lang w:eastAsia="en-US"/>
        </w:rPr>
      </w:pPr>
    </w:p>
    <w:p w:rsidR="003141F4" w:rsidRDefault="003141F4" w:rsidP="007240C0">
      <w:pPr>
        <w:ind w:left="720" w:hanging="720"/>
        <w:jc w:val="both"/>
        <w:rPr>
          <w:rFonts w:ascii="Arial" w:eastAsiaTheme="minorHAnsi" w:hAnsi="Arial" w:cs="Arial"/>
          <w:sz w:val="24"/>
          <w:szCs w:val="24"/>
          <w:lang w:eastAsia="en-US"/>
        </w:rPr>
      </w:pPr>
    </w:p>
    <w:p w:rsidR="003141F4" w:rsidRDefault="003141F4" w:rsidP="007240C0">
      <w:pPr>
        <w:ind w:left="720" w:hanging="720"/>
        <w:jc w:val="both"/>
        <w:rPr>
          <w:rFonts w:ascii="Arial" w:eastAsiaTheme="minorHAnsi" w:hAnsi="Arial" w:cs="Arial"/>
          <w:b/>
          <w:sz w:val="24"/>
          <w:szCs w:val="24"/>
          <w:lang w:eastAsia="en-US"/>
        </w:rPr>
      </w:pPr>
      <w:r>
        <w:rPr>
          <w:rFonts w:ascii="Arial" w:eastAsiaTheme="minorHAnsi" w:hAnsi="Arial" w:cs="Arial"/>
          <w:b/>
          <w:sz w:val="24"/>
          <w:szCs w:val="24"/>
          <w:lang w:eastAsia="en-US"/>
        </w:rPr>
        <w:t>31D</w:t>
      </w:r>
      <w:r>
        <w:rPr>
          <w:rFonts w:ascii="Arial" w:eastAsiaTheme="minorHAnsi" w:hAnsi="Arial" w:cs="Arial"/>
          <w:b/>
          <w:sz w:val="24"/>
          <w:szCs w:val="24"/>
          <w:lang w:eastAsia="en-US"/>
        </w:rPr>
        <w:tab/>
        <w:t>(Policy Map D) Spatial Framework for Wind Energy and Policy 37 Landscape</w:t>
      </w:r>
    </w:p>
    <w:p w:rsidR="003141F4" w:rsidRDefault="003141F4" w:rsidP="007240C0">
      <w:pPr>
        <w:ind w:left="720" w:hanging="720"/>
        <w:jc w:val="both"/>
        <w:rPr>
          <w:rFonts w:ascii="Arial" w:eastAsiaTheme="minorHAnsi" w:hAnsi="Arial" w:cs="Arial"/>
          <w:sz w:val="24"/>
          <w:szCs w:val="24"/>
          <w:lang w:eastAsia="en-US"/>
        </w:rPr>
      </w:pPr>
    </w:p>
    <w:p w:rsidR="001A5221" w:rsidRDefault="008E30B5"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Policy 31D and 37 should refer also to Local Landscape Area designations and their need for protection from inappropriate development.   There is an urgent need to review the exclusion of the Cleish Hills and Devon Gorge from </w:t>
      </w:r>
    </w:p>
    <w:p w:rsidR="008E30B5" w:rsidRDefault="008E30B5" w:rsidP="007240C0">
      <w:pPr>
        <w:ind w:left="720"/>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such</w:t>
      </w:r>
      <w:proofErr w:type="gramEnd"/>
      <w:r>
        <w:rPr>
          <w:rFonts w:ascii="Arial" w:eastAsiaTheme="minorHAnsi" w:hAnsi="Arial" w:cs="Arial"/>
          <w:sz w:val="24"/>
          <w:szCs w:val="24"/>
          <w:lang w:eastAsia="en-US"/>
        </w:rPr>
        <w:t xml:space="preserve"> designation following a deeply flawed consul</w:t>
      </w:r>
      <w:r w:rsidR="009F0B51">
        <w:rPr>
          <w:rFonts w:ascii="Arial" w:eastAsiaTheme="minorHAnsi" w:hAnsi="Arial" w:cs="Arial"/>
          <w:sz w:val="24"/>
          <w:szCs w:val="24"/>
          <w:lang w:eastAsia="en-US"/>
        </w:rPr>
        <w:t>tant’s exercise – See my letter</w:t>
      </w:r>
      <w:r>
        <w:rPr>
          <w:rFonts w:ascii="Arial" w:eastAsiaTheme="minorHAnsi" w:hAnsi="Arial" w:cs="Arial"/>
          <w:sz w:val="24"/>
          <w:szCs w:val="24"/>
          <w:lang w:eastAsia="en-US"/>
        </w:rPr>
        <w:t xml:space="preserve"> of 31/8/17 and enclosures.</w:t>
      </w:r>
    </w:p>
    <w:p w:rsidR="001A5221" w:rsidRDefault="001A5221" w:rsidP="007240C0">
      <w:pPr>
        <w:ind w:left="720"/>
        <w:jc w:val="both"/>
        <w:rPr>
          <w:rFonts w:ascii="Arial" w:eastAsiaTheme="minorHAnsi" w:hAnsi="Arial" w:cs="Arial"/>
          <w:sz w:val="24"/>
          <w:szCs w:val="24"/>
          <w:lang w:eastAsia="en-US"/>
        </w:rPr>
      </w:pPr>
    </w:p>
    <w:p w:rsidR="001A5221" w:rsidRDefault="001A5221"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38B</w:t>
      </w:r>
      <w:r>
        <w:rPr>
          <w:rFonts w:ascii="Arial" w:eastAsiaTheme="minorHAnsi" w:hAnsi="Arial" w:cs="Arial"/>
          <w:b/>
          <w:sz w:val="24"/>
          <w:szCs w:val="24"/>
          <w:lang w:eastAsia="en-US"/>
        </w:rPr>
        <w:tab/>
        <w:t>Trees, Woodland and Development</w:t>
      </w:r>
    </w:p>
    <w:p w:rsidR="001A5221" w:rsidRDefault="001A5221" w:rsidP="007240C0">
      <w:pPr>
        <w:jc w:val="both"/>
        <w:rPr>
          <w:rFonts w:ascii="Arial" w:eastAsiaTheme="minorHAnsi" w:hAnsi="Arial" w:cs="Arial"/>
          <w:b/>
          <w:sz w:val="24"/>
          <w:szCs w:val="24"/>
          <w:lang w:eastAsia="en-US"/>
        </w:rPr>
      </w:pPr>
    </w:p>
    <w:p w:rsidR="001A5221" w:rsidRDefault="001A5221"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Experience of inappropriate felling by Developers suggests that tree protection is not strong enough and that TPO’s alone (not mentioned here) are insufficient to safeguard important groups of trees – a major omission in ‘Big Tree County’.  I would like to see much greater attention at planning committees to the representations from our bio-diversity and tree officers!</w:t>
      </w:r>
    </w:p>
    <w:p w:rsidR="001A5221" w:rsidRDefault="001A5221" w:rsidP="007240C0">
      <w:pPr>
        <w:ind w:left="720"/>
        <w:jc w:val="both"/>
        <w:rPr>
          <w:rFonts w:ascii="Arial" w:eastAsiaTheme="minorHAnsi" w:hAnsi="Arial" w:cs="Arial"/>
          <w:sz w:val="24"/>
          <w:szCs w:val="24"/>
          <w:lang w:eastAsia="en-US"/>
        </w:rPr>
      </w:pPr>
    </w:p>
    <w:p w:rsidR="001A5221" w:rsidRDefault="001A5221"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44</w:t>
      </w:r>
      <w:r>
        <w:rPr>
          <w:rFonts w:ascii="Arial" w:eastAsiaTheme="minorHAnsi" w:hAnsi="Arial" w:cs="Arial"/>
          <w:b/>
          <w:sz w:val="24"/>
          <w:szCs w:val="24"/>
          <w:lang w:eastAsia="en-US"/>
        </w:rPr>
        <w:tab/>
        <w:t>Lochleven Catchment</w:t>
      </w:r>
    </w:p>
    <w:p w:rsidR="001A5221" w:rsidRDefault="001A5221" w:rsidP="007240C0">
      <w:pPr>
        <w:jc w:val="both"/>
        <w:rPr>
          <w:rFonts w:ascii="Arial" w:eastAsiaTheme="minorHAnsi" w:hAnsi="Arial" w:cs="Arial"/>
          <w:b/>
          <w:sz w:val="24"/>
          <w:szCs w:val="24"/>
          <w:lang w:eastAsia="en-US"/>
        </w:rPr>
      </w:pPr>
    </w:p>
    <w:p w:rsidR="001A5221" w:rsidRDefault="001A5221"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This policy fails to mention the ‘protocol’ between SEPA, SNH and PKC.  There is an urgent need for review of this in relation to its total lack of effectiveness when dealing with the increasing number of retrospective applications.</w:t>
      </w:r>
    </w:p>
    <w:p w:rsidR="001A5221" w:rsidRDefault="001A5221" w:rsidP="007240C0">
      <w:pPr>
        <w:ind w:left="720"/>
        <w:jc w:val="both"/>
        <w:rPr>
          <w:rFonts w:ascii="Arial" w:eastAsiaTheme="minorHAnsi" w:hAnsi="Arial" w:cs="Arial"/>
          <w:sz w:val="24"/>
          <w:szCs w:val="24"/>
          <w:lang w:eastAsia="en-US"/>
        </w:rPr>
      </w:pPr>
    </w:p>
    <w:p w:rsidR="001A5221" w:rsidRDefault="001A5221"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FINALLY</w:t>
      </w:r>
    </w:p>
    <w:p w:rsidR="001A5221" w:rsidRDefault="001A5221" w:rsidP="007240C0">
      <w:pPr>
        <w:jc w:val="both"/>
        <w:rPr>
          <w:rFonts w:ascii="Arial" w:eastAsiaTheme="minorHAnsi" w:hAnsi="Arial" w:cs="Arial"/>
          <w:b/>
          <w:sz w:val="24"/>
          <w:szCs w:val="24"/>
          <w:lang w:eastAsia="en-US"/>
        </w:rPr>
      </w:pPr>
    </w:p>
    <w:p w:rsidR="00EE1F9F" w:rsidRDefault="001A5221"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A number of policies allow for survey/reports to be commissioned by </w:t>
      </w:r>
    </w:p>
    <w:p w:rsidR="001A5221" w:rsidRDefault="001A5221" w:rsidP="007240C0">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applicants, rather than chosen by PKC and the applicant billed.  In areas such as airfield safeguarding, buildings retention, habitat, trees and transport it often produces a report open to challenge because it is not ‘independent’.</w:t>
      </w:r>
    </w:p>
    <w:p w:rsidR="00EE1F9F" w:rsidRDefault="00EE1F9F" w:rsidP="007240C0">
      <w:pPr>
        <w:ind w:left="720"/>
        <w:jc w:val="both"/>
        <w:rPr>
          <w:rFonts w:ascii="Arial" w:eastAsiaTheme="minorHAnsi" w:hAnsi="Arial" w:cs="Arial"/>
          <w:sz w:val="24"/>
          <w:szCs w:val="24"/>
          <w:lang w:eastAsia="en-US"/>
        </w:rPr>
      </w:pPr>
    </w:p>
    <w:p w:rsidR="00EE1F9F" w:rsidRDefault="00D77C33"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SITE ZONINGS</w:t>
      </w:r>
    </w:p>
    <w:p w:rsidR="00D77C33" w:rsidRDefault="00D77C33" w:rsidP="007240C0">
      <w:pPr>
        <w:jc w:val="both"/>
        <w:rPr>
          <w:rFonts w:ascii="Arial" w:eastAsiaTheme="minorHAnsi" w:hAnsi="Arial" w:cs="Arial"/>
          <w:b/>
          <w:sz w:val="24"/>
          <w:szCs w:val="24"/>
          <w:lang w:eastAsia="en-US"/>
        </w:rPr>
      </w:pPr>
    </w:p>
    <w:p w:rsidR="00D77C33" w:rsidRDefault="00D77C33" w:rsidP="007240C0">
      <w:pPr>
        <w:jc w:val="both"/>
        <w:rPr>
          <w:rFonts w:ascii="Arial" w:eastAsiaTheme="minorHAnsi" w:hAnsi="Arial" w:cs="Arial"/>
          <w:b/>
          <w:sz w:val="24"/>
          <w:szCs w:val="24"/>
          <w:lang w:eastAsia="en-US"/>
        </w:rPr>
      </w:pPr>
      <w:r w:rsidRPr="00413FBA">
        <w:rPr>
          <w:rFonts w:ascii="Arial" w:eastAsiaTheme="minorHAnsi" w:hAnsi="Arial" w:cs="Arial"/>
          <w:b/>
          <w:sz w:val="24"/>
          <w:szCs w:val="24"/>
          <w:lang w:eastAsia="en-US"/>
        </w:rPr>
        <w:t>BALADO</w:t>
      </w:r>
    </w:p>
    <w:p w:rsidR="00D77C33" w:rsidRDefault="00D77C33" w:rsidP="007240C0">
      <w:pPr>
        <w:jc w:val="both"/>
        <w:rPr>
          <w:rFonts w:ascii="Arial" w:eastAsiaTheme="minorHAnsi" w:hAnsi="Arial" w:cs="Arial"/>
          <w:b/>
          <w:sz w:val="24"/>
          <w:szCs w:val="24"/>
          <w:lang w:eastAsia="en-US"/>
        </w:rPr>
      </w:pPr>
    </w:p>
    <w:p w:rsidR="00D77C33" w:rsidRDefault="00D77C33"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 support the revised settlement boundary here and believe that H51 should be required to connect to mains drainage.</w:t>
      </w:r>
    </w:p>
    <w:p w:rsidR="00D77C33" w:rsidRDefault="00D77C33" w:rsidP="007240C0">
      <w:pPr>
        <w:jc w:val="both"/>
        <w:rPr>
          <w:rFonts w:ascii="Arial" w:eastAsiaTheme="minorHAnsi" w:hAnsi="Arial" w:cs="Arial"/>
          <w:sz w:val="24"/>
          <w:szCs w:val="24"/>
          <w:lang w:eastAsia="en-US"/>
        </w:rPr>
      </w:pPr>
    </w:p>
    <w:p w:rsidR="00D77C33" w:rsidRDefault="00D77C33"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CLEISH &amp; BLAIRADAM</w:t>
      </w:r>
    </w:p>
    <w:p w:rsidR="00D77C33" w:rsidRDefault="00D77C33" w:rsidP="007240C0">
      <w:pPr>
        <w:jc w:val="both"/>
        <w:rPr>
          <w:rFonts w:ascii="Arial" w:eastAsiaTheme="minorHAnsi" w:hAnsi="Arial" w:cs="Arial"/>
          <w:b/>
          <w:sz w:val="24"/>
          <w:szCs w:val="24"/>
          <w:lang w:eastAsia="en-US"/>
        </w:rPr>
      </w:pPr>
    </w:p>
    <w:p w:rsidR="00D07131" w:rsidRDefault="00645B18"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Along with the Community Council, </w:t>
      </w:r>
      <w:r w:rsidR="00D77C33">
        <w:rPr>
          <w:rFonts w:ascii="Arial" w:eastAsiaTheme="minorHAnsi" w:hAnsi="Arial" w:cs="Arial"/>
          <w:sz w:val="24"/>
          <w:szCs w:val="24"/>
          <w:lang w:eastAsia="en-US"/>
        </w:rPr>
        <w:t xml:space="preserve">I am content with the settlement boundaries in this community council area.  However, comment is required regarding the </w:t>
      </w:r>
      <w:proofErr w:type="spellStart"/>
      <w:r w:rsidR="00D77C33">
        <w:rPr>
          <w:rFonts w:ascii="Arial" w:eastAsiaTheme="minorHAnsi" w:hAnsi="Arial" w:cs="Arial"/>
          <w:sz w:val="24"/>
          <w:szCs w:val="24"/>
          <w:lang w:eastAsia="en-US"/>
        </w:rPr>
        <w:t>Greenacres</w:t>
      </w:r>
      <w:proofErr w:type="spellEnd"/>
      <w:r w:rsidR="00D77C33">
        <w:rPr>
          <w:rFonts w:ascii="Arial" w:eastAsiaTheme="minorHAnsi" w:hAnsi="Arial" w:cs="Arial"/>
          <w:sz w:val="24"/>
          <w:szCs w:val="24"/>
          <w:lang w:eastAsia="en-US"/>
        </w:rPr>
        <w:t xml:space="preserve"> gypsy/traveller site </w:t>
      </w:r>
      <w:proofErr w:type="spellStart"/>
      <w:r w:rsidR="00D77C33">
        <w:rPr>
          <w:rFonts w:ascii="Arial" w:eastAsiaTheme="minorHAnsi" w:hAnsi="Arial" w:cs="Arial"/>
          <w:sz w:val="24"/>
          <w:szCs w:val="24"/>
          <w:lang w:eastAsia="en-US"/>
        </w:rPr>
        <w:t>viz</w:t>
      </w:r>
      <w:proofErr w:type="spellEnd"/>
      <w:r w:rsidR="00D77C33">
        <w:rPr>
          <w:rFonts w:ascii="Arial" w:eastAsiaTheme="minorHAnsi" w:hAnsi="Arial" w:cs="Arial"/>
          <w:sz w:val="24"/>
          <w:szCs w:val="24"/>
          <w:lang w:eastAsia="en-US"/>
        </w:rPr>
        <w:t>:-</w:t>
      </w:r>
      <w:r w:rsidR="00EB793B">
        <w:rPr>
          <w:rFonts w:ascii="Arial" w:eastAsiaTheme="minorHAnsi" w:hAnsi="Arial" w:cs="Arial"/>
          <w:sz w:val="24"/>
          <w:szCs w:val="24"/>
          <w:lang w:eastAsia="en-US"/>
        </w:rPr>
        <w:t xml:space="preserve">  </w:t>
      </w:r>
    </w:p>
    <w:p w:rsidR="000E507F" w:rsidRDefault="00D77C33"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This site has expanded way beyond the planning department’s potential, stated in May 2006 and I still have concerns that the current boundary will be breached, </w:t>
      </w:r>
    </w:p>
    <w:p w:rsidR="000E507F" w:rsidRDefault="000E507F" w:rsidP="007240C0">
      <w:pPr>
        <w:jc w:val="both"/>
        <w:rPr>
          <w:rFonts w:ascii="Arial" w:eastAsiaTheme="minorHAnsi" w:hAnsi="Arial" w:cs="Arial"/>
          <w:sz w:val="24"/>
          <w:szCs w:val="24"/>
          <w:lang w:eastAsia="en-US"/>
        </w:rPr>
      </w:pPr>
    </w:p>
    <w:p w:rsidR="00D62222" w:rsidRDefault="00D62222" w:rsidP="007240C0">
      <w:pPr>
        <w:jc w:val="both"/>
        <w:rPr>
          <w:rFonts w:ascii="Arial" w:eastAsiaTheme="minorHAnsi" w:hAnsi="Arial" w:cs="Arial"/>
          <w:sz w:val="24"/>
          <w:szCs w:val="24"/>
          <w:lang w:eastAsia="en-US"/>
        </w:rPr>
      </w:pPr>
    </w:p>
    <w:p w:rsidR="00D62222" w:rsidRDefault="00D62222" w:rsidP="007240C0">
      <w:pPr>
        <w:jc w:val="both"/>
        <w:rPr>
          <w:rFonts w:ascii="Arial" w:eastAsiaTheme="minorHAnsi" w:hAnsi="Arial" w:cs="Arial"/>
          <w:sz w:val="24"/>
          <w:szCs w:val="24"/>
          <w:lang w:eastAsia="en-US"/>
        </w:rPr>
      </w:pPr>
    </w:p>
    <w:p w:rsidR="000E507F" w:rsidRDefault="000E507F"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4</w:t>
      </w:r>
    </w:p>
    <w:p w:rsidR="000E507F" w:rsidRDefault="000E507F" w:rsidP="007240C0">
      <w:pPr>
        <w:jc w:val="both"/>
        <w:rPr>
          <w:rFonts w:ascii="Arial" w:eastAsiaTheme="minorHAnsi" w:hAnsi="Arial" w:cs="Arial"/>
          <w:sz w:val="24"/>
          <w:szCs w:val="24"/>
          <w:lang w:eastAsia="en-US"/>
        </w:rPr>
      </w:pPr>
    </w:p>
    <w:p w:rsidR="00D62222" w:rsidRDefault="00D62222" w:rsidP="007240C0">
      <w:pPr>
        <w:jc w:val="both"/>
        <w:rPr>
          <w:rFonts w:ascii="Arial" w:eastAsiaTheme="minorHAnsi" w:hAnsi="Arial" w:cs="Arial"/>
          <w:sz w:val="24"/>
          <w:szCs w:val="24"/>
          <w:lang w:eastAsia="en-US"/>
        </w:rPr>
      </w:pPr>
    </w:p>
    <w:p w:rsidR="00D77C33" w:rsidRDefault="00D77C33" w:rsidP="007240C0">
      <w:pPr>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particularly</w:t>
      </w:r>
      <w:proofErr w:type="gramEnd"/>
      <w:r>
        <w:rPr>
          <w:rFonts w:ascii="Arial" w:eastAsiaTheme="minorHAnsi" w:hAnsi="Arial" w:cs="Arial"/>
          <w:sz w:val="24"/>
          <w:szCs w:val="24"/>
          <w:lang w:eastAsia="en-US"/>
        </w:rPr>
        <w:t xml:space="preserve"> on the north west; could the landscape framework be augmented to enclose the site to the north and south?</w:t>
      </w:r>
    </w:p>
    <w:p w:rsidR="00D77C33" w:rsidRDefault="00D77C33" w:rsidP="007240C0">
      <w:pPr>
        <w:jc w:val="both"/>
        <w:rPr>
          <w:rFonts w:ascii="Arial" w:eastAsiaTheme="minorHAnsi" w:hAnsi="Arial" w:cs="Arial"/>
          <w:sz w:val="24"/>
          <w:szCs w:val="24"/>
          <w:lang w:eastAsia="en-US"/>
        </w:rPr>
      </w:pPr>
    </w:p>
    <w:p w:rsidR="00D77C33" w:rsidRDefault="00D77C33"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FOSSOWAY</w:t>
      </w:r>
    </w:p>
    <w:p w:rsidR="00D77C33" w:rsidRDefault="00D77C33" w:rsidP="007240C0">
      <w:pPr>
        <w:jc w:val="both"/>
        <w:rPr>
          <w:rFonts w:ascii="Arial" w:eastAsiaTheme="minorHAnsi" w:hAnsi="Arial" w:cs="Arial"/>
          <w:b/>
          <w:sz w:val="24"/>
          <w:szCs w:val="24"/>
          <w:lang w:eastAsia="en-US"/>
        </w:rPr>
      </w:pPr>
    </w:p>
    <w:p w:rsidR="00D77C33" w:rsidRDefault="00D77C33"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Final development proposals should be seen in the context of work by the Fossoway Community Strategy Group, acknowledged in Par</w:t>
      </w:r>
      <w:r w:rsidR="008421C7">
        <w:rPr>
          <w:rFonts w:ascii="Arial" w:eastAsiaTheme="minorHAnsi" w:hAnsi="Arial" w:cs="Arial"/>
          <w:sz w:val="24"/>
          <w:szCs w:val="24"/>
          <w:lang w:eastAsia="en-US"/>
        </w:rPr>
        <w:t>a</w:t>
      </w:r>
      <w:r>
        <w:rPr>
          <w:rFonts w:ascii="Arial" w:eastAsiaTheme="minorHAnsi" w:hAnsi="Arial" w:cs="Arial"/>
          <w:sz w:val="24"/>
          <w:szCs w:val="24"/>
          <w:lang w:eastAsia="en-US"/>
        </w:rPr>
        <w:t xml:space="preserve"> 7.1.12 of LDP1 and final settlement maps produced enclosed; also current consultation on A977 mitigation resources of £540,000 being conducted by the project officer</w:t>
      </w:r>
      <w:r w:rsidR="00501769">
        <w:rPr>
          <w:rFonts w:ascii="Arial" w:eastAsiaTheme="minorHAnsi" w:hAnsi="Arial" w:cs="Arial"/>
          <w:sz w:val="24"/>
          <w:szCs w:val="24"/>
          <w:lang w:eastAsia="en-US"/>
        </w:rPr>
        <w:t xml:space="preserve"> </w:t>
      </w:r>
      <w:proofErr w:type="spellStart"/>
      <w:r w:rsidR="00501769">
        <w:rPr>
          <w:rFonts w:ascii="Arial" w:eastAsiaTheme="minorHAnsi" w:hAnsi="Arial" w:cs="Arial"/>
          <w:sz w:val="24"/>
          <w:szCs w:val="24"/>
          <w:lang w:eastAsia="en-US"/>
        </w:rPr>
        <w:t>viz</w:t>
      </w:r>
      <w:proofErr w:type="spellEnd"/>
      <w:r w:rsidR="00501769">
        <w:rPr>
          <w:rFonts w:ascii="Arial" w:eastAsiaTheme="minorHAnsi" w:hAnsi="Arial" w:cs="Arial"/>
          <w:sz w:val="24"/>
          <w:szCs w:val="24"/>
          <w:lang w:eastAsia="en-US"/>
        </w:rPr>
        <w:t xml:space="preserve"> T</w:t>
      </w:r>
      <w:r>
        <w:rPr>
          <w:rFonts w:ascii="Arial" w:eastAsiaTheme="minorHAnsi" w:hAnsi="Arial" w:cs="Arial"/>
          <w:sz w:val="24"/>
          <w:szCs w:val="24"/>
          <w:lang w:eastAsia="en-US"/>
        </w:rPr>
        <w:t>otal estimated spe</w:t>
      </w:r>
      <w:r w:rsidR="00CA2769">
        <w:rPr>
          <w:rFonts w:ascii="Arial" w:eastAsiaTheme="minorHAnsi" w:hAnsi="Arial" w:cs="Arial"/>
          <w:sz w:val="24"/>
          <w:szCs w:val="24"/>
          <w:lang w:eastAsia="en-US"/>
        </w:rPr>
        <w:t xml:space="preserve">nd produced by officers approx </w:t>
      </w:r>
      <w:r>
        <w:rPr>
          <w:rFonts w:ascii="Arial" w:eastAsiaTheme="minorHAnsi" w:hAnsi="Arial" w:cs="Arial"/>
          <w:sz w:val="24"/>
          <w:szCs w:val="24"/>
          <w:lang w:eastAsia="en-US"/>
        </w:rPr>
        <w:t xml:space="preserve">£793,500 </w:t>
      </w:r>
      <w:r w:rsidR="00CA2769">
        <w:rPr>
          <w:rFonts w:ascii="Arial" w:eastAsiaTheme="minorHAnsi" w:hAnsi="Arial" w:cs="Arial"/>
          <w:sz w:val="24"/>
          <w:szCs w:val="24"/>
          <w:lang w:eastAsia="en-US"/>
        </w:rPr>
        <w:t>(</w:t>
      </w:r>
      <w:r>
        <w:rPr>
          <w:rFonts w:ascii="Arial" w:eastAsiaTheme="minorHAnsi" w:hAnsi="Arial" w:cs="Arial"/>
          <w:sz w:val="24"/>
          <w:szCs w:val="24"/>
          <w:lang w:eastAsia="en-US"/>
        </w:rPr>
        <w:t>excluding a junction re-alignment at Powmill), less local members’ priorities £534,000 per newsletter article attached, gives a shortfall of £259,500 (including contingency of say £27,000) that could conceivably be met from site developer contributions.</w:t>
      </w:r>
    </w:p>
    <w:p w:rsidR="00D77C33" w:rsidRDefault="00D77C33" w:rsidP="007240C0">
      <w:pPr>
        <w:jc w:val="both"/>
        <w:rPr>
          <w:rFonts w:ascii="Arial" w:eastAsiaTheme="minorHAnsi" w:hAnsi="Arial" w:cs="Arial"/>
          <w:sz w:val="24"/>
          <w:szCs w:val="24"/>
          <w:lang w:eastAsia="en-US"/>
        </w:rPr>
      </w:pPr>
    </w:p>
    <w:p w:rsidR="00D77C33" w:rsidRPr="00D77C33" w:rsidRDefault="00D77C33"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Blairingone</w:t>
      </w:r>
    </w:p>
    <w:p w:rsidR="00D77C33" w:rsidRDefault="00D77C33" w:rsidP="007240C0">
      <w:pPr>
        <w:jc w:val="both"/>
        <w:rPr>
          <w:rFonts w:ascii="Arial" w:eastAsiaTheme="minorHAnsi" w:hAnsi="Arial" w:cs="Arial"/>
          <w:b/>
          <w:sz w:val="24"/>
          <w:szCs w:val="24"/>
          <w:lang w:eastAsia="en-US"/>
        </w:rPr>
      </w:pPr>
    </w:p>
    <w:p w:rsidR="00D77C33" w:rsidRDefault="00D77C33"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 support MU74 and E22, the mixed use site is large and could accommodate significant development in the longer term that may help to safeguard the future of the primary school.</w:t>
      </w:r>
    </w:p>
    <w:p w:rsidR="00D77C33" w:rsidRDefault="00D77C33" w:rsidP="007240C0">
      <w:pPr>
        <w:jc w:val="both"/>
        <w:rPr>
          <w:rFonts w:ascii="Arial" w:eastAsiaTheme="minorHAnsi" w:hAnsi="Arial" w:cs="Arial"/>
          <w:sz w:val="24"/>
          <w:szCs w:val="24"/>
          <w:lang w:eastAsia="en-US"/>
        </w:rPr>
      </w:pPr>
    </w:p>
    <w:p w:rsidR="00D77C33" w:rsidRDefault="00D77C33"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Carnbo</w:t>
      </w:r>
    </w:p>
    <w:p w:rsidR="00D77C33" w:rsidRDefault="00D77C33" w:rsidP="007240C0">
      <w:pPr>
        <w:jc w:val="both"/>
        <w:rPr>
          <w:rFonts w:ascii="Arial" w:eastAsiaTheme="minorHAnsi" w:hAnsi="Arial" w:cs="Arial"/>
          <w:b/>
          <w:sz w:val="24"/>
          <w:szCs w:val="24"/>
          <w:lang w:eastAsia="en-US"/>
        </w:rPr>
      </w:pPr>
    </w:p>
    <w:p w:rsidR="00D77C33" w:rsidRDefault="00D77C33"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 support the settlement boundary but feel there should be no more housing development until mains drainage is available.</w:t>
      </w:r>
    </w:p>
    <w:p w:rsidR="00D77C33" w:rsidRDefault="00D77C33" w:rsidP="007240C0">
      <w:pPr>
        <w:jc w:val="both"/>
        <w:rPr>
          <w:rFonts w:ascii="Arial" w:eastAsiaTheme="minorHAnsi" w:hAnsi="Arial" w:cs="Arial"/>
          <w:sz w:val="24"/>
          <w:szCs w:val="24"/>
          <w:lang w:eastAsia="en-US"/>
        </w:rPr>
      </w:pPr>
    </w:p>
    <w:p w:rsidR="00D77C33" w:rsidRPr="00FF64DA" w:rsidRDefault="00D77C33"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Crook of Devon</w:t>
      </w:r>
      <w:r w:rsidR="00922492">
        <w:rPr>
          <w:rFonts w:ascii="Arial" w:eastAsiaTheme="minorHAnsi" w:hAnsi="Arial" w:cs="Arial"/>
          <w:b/>
          <w:sz w:val="24"/>
          <w:szCs w:val="24"/>
          <w:lang w:eastAsia="en-US"/>
        </w:rPr>
        <w:t xml:space="preserve"> &amp; Drum</w:t>
      </w:r>
    </w:p>
    <w:p w:rsidR="00922492" w:rsidRDefault="00922492" w:rsidP="007240C0">
      <w:pPr>
        <w:jc w:val="both"/>
      </w:pPr>
    </w:p>
    <w:p w:rsidR="00922492" w:rsidRDefault="00922492" w:rsidP="007240C0">
      <w:pPr>
        <w:jc w:val="both"/>
        <w:rPr>
          <w:rFonts w:ascii="Arial" w:hAnsi="Arial" w:cs="Arial"/>
          <w:sz w:val="24"/>
          <w:szCs w:val="24"/>
        </w:rPr>
      </w:pPr>
      <w:r w:rsidRPr="005B4D01">
        <w:rPr>
          <w:rFonts w:ascii="Arial" w:hAnsi="Arial" w:cs="Arial"/>
          <w:sz w:val="24"/>
          <w:szCs w:val="24"/>
        </w:rPr>
        <w:t>I am in support of the settlement boundary here and the inclusion of the mixed use site MU266.  Although the Fossoway Community Strategy Group had originally excluded development of this site in their settlement map, supported by myself; this positon changed on 4</w:t>
      </w:r>
      <w:r w:rsidRPr="005B4D01">
        <w:rPr>
          <w:rFonts w:ascii="Arial" w:hAnsi="Arial" w:cs="Arial"/>
          <w:sz w:val="24"/>
          <w:szCs w:val="24"/>
          <w:vertAlign w:val="superscript"/>
        </w:rPr>
        <w:t>th</w:t>
      </w:r>
      <w:r w:rsidRPr="005B4D01">
        <w:rPr>
          <w:rFonts w:ascii="Arial" w:hAnsi="Arial" w:cs="Arial"/>
          <w:sz w:val="24"/>
          <w:szCs w:val="24"/>
        </w:rPr>
        <w:t xml:space="preserve"> August 2015 (email enclosed) when proposals came forward suggesting provision of major mitigation measures on the A977 could be provided and at that time there was no PKC budget for same.  Also, PKC themselves had discredited the work of their landscape consultant by repeatedly ignoring his assessment of the Crook Moss area as being not appropriate for development, mainly through drainage constraints,  when sanctioning development of the neighbouring Crook Moss gypsy/traveller site against the wishes of the local community and members.  It is the case that the residents of the Crook Moss site have been there since March 2012 and as far as I’m aware are still in breach of conditions on drainage and water supply </w:t>
      </w:r>
      <w:r w:rsidR="006F4512">
        <w:rPr>
          <w:rFonts w:ascii="Arial" w:hAnsi="Arial" w:cs="Arial"/>
          <w:sz w:val="24"/>
          <w:szCs w:val="24"/>
        </w:rPr>
        <w:t>(</w:t>
      </w:r>
      <w:r w:rsidRPr="005B4D01">
        <w:rPr>
          <w:rFonts w:ascii="Arial" w:hAnsi="Arial" w:cs="Arial"/>
          <w:sz w:val="24"/>
          <w:szCs w:val="24"/>
        </w:rPr>
        <w:t>on a site within the Loch Leven catchment</w:t>
      </w:r>
      <w:r w:rsidR="006F4512">
        <w:rPr>
          <w:rFonts w:ascii="Arial" w:hAnsi="Arial" w:cs="Arial"/>
          <w:sz w:val="24"/>
          <w:szCs w:val="24"/>
        </w:rPr>
        <w:t>)</w:t>
      </w:r>
      <w:r w:rsidRPr="005B4D01">
        <w:rPr>
          <w:rFonts w:ascii="Arial" w:hAnsi="Arial" w:cs="Arial"/>
          <w:sz w:val="24"/>
          <w:szCs w:val="24"/>
        </w:rPr>
        <w:t>, also landscaping.  The site is an eyesore, as far as the local community is concerned, with a lack of enforcement obvious nearly 6 years later; it is undoubtedly the worst planning decision I have encountered in nearly 20 years as a local councillor.  We also know from Scottish Water as of 7/11/17, that both Crook of Devon &amp; Drum WWTP’s are at or near capacity and require upgrades; the development of MU266</w:t>
      </w:r>
      <w:r w:rsidRPr="005B4D01">
        <w:rPr>
          <w:rFonts w:ascii="Arial" w:hAnsi="Arial" w:cs="Arial"/>
          <w:color w:val="FF0000"/>
          <w:sz w:val="24"/>
          <w:szCs w:val="24"/>
        </w:rPr>
        <w:t xml:space="preserve"> </w:t>
      </w:r>
      <w:r w:rsidRPr="005B4D01">
        <w:rPr>
          <w:rFonts w:ascii="Arial" w:hAnsi="Arial" w:cs="Arial"/>
          <w:sz w:val="24"/>
          <w:szCs w:val="24"/>
        </w:rPr>
        <w:t>can be ‘a growth project’ to fund such upgrades.</w:t>
      </w:r>
    </w:p>
    <w:p w:rsidR="00CB06FF" w:rsidRPr="005B4D01" w:rsidRDefault="00CB06FF" w:rsidP="007240C0">
      <w:pPr>
        <w:jc w:val="both"/>
        <w:rPr>
          <w:rFonts w:ascii="Arial" w:hAnsi="Arial" w:cs="Arial"/>
          <w:sz w:val="24"/>
          <w:szCs w:val="24"/>
        </w:rPr>
      </w:pPr>
    </w:p>
    <w:p w:rsidR="00350885" w:rsidRDefault="00922492" w:rsidP="007240C0">
      <w:pPr>
        <w:jc w:val="both"/>
        <w:rPr>
          <w:rFonts w:ascii="Arial" w:hAnsi="Arial" w:cs="Arial"/>
          <w:sz w:val="24"/>
          <w:szCs w:val="24"/>
        </w:rPr>
      </w:pPr>
      <w:r w:rsidRPr="005B4D01">
        <w:rPr>
          <w:rFonts w:ascii="Arial" w:hAnsi="Arial" w:cs="Arial"/>
          <w:sz w:val="24"/>
          <w:szCs w:val="24"/>
        </w:rPr>
        <w:t xml:space="preserve">Due to the delay with Tayplan, an opportunity for further consultation on site zonings in Fossoway was afforded in February 2017 by local members.  The owners of site </w:t>
      </w:r>
    </w:p>
    <w:p w:rsidR="00350885" w:rsidRDefault="00350885" w:rsidP="007240C0">
      <w:pPr>
        <w:jc w:val="both"/>
        <w:rPr>
          <w:rFonts w:ascii="Arial" w:hAnsi="Arial" w:cs="Arial"/>
          <w:sz w:val="24"/>
          <w:szCs w:val="24"/>
        </w:rPr>
      </w:pPr>
      <w:r>
        <w:rPr>
          <w:rFonts w:ascii="Arial" w:hAnsi="Arial" w:cs="Arial"/>
          <w:sz w:val="24"/>
          <w:szCs w:val="24"/>
        </w:rPr>
        <w:lastRenderedPageBreak/>
        <w:t>5</w:t>
      </w:r>
    </w:p>
    <w:p w:rsidR="00350885" w:rsidRDefault="00350885" w:rsidP="007240C0">
      <w:pPr>
        <w:jc w:val="both"/>
        <w:rPr>
          <w:rFonts w:ascii="Arial" w:hAnsi="Arial" w:cs="Arial"/>
          <w:sz w:val="24"/>
          <w:szCs w:val="24"/>
        </w:rPr>
      </w:pPr>
    </w:p>
    <w:p w:rsidR="00350885" w:rsidRDefault="00350885" w:rsidP="007240C0">
      <w:pPr>
        <w:jc w:val="both"/>
        <w:rPr>
          <w:rFonts w:ascii="Arial" w:hAnsi="Arial" w:cs="Arial"/>
          <w:sz w:val="24"/>
          <w:szCs w:val="24"/>
        </w:rPr>
      </w:pPr>
    </w:p>
    <w:p w:rsidR="00922492" w:rsidRDefault="00922492" w:rsidP="007240C0">
      <w:pPr>
        <w:jc w:val="both"/>
        <w:rPr>
          <w:rFonts w:ascii="Arial" w:hAnsi="Arial" w:cs="Arial"/>
          <w:sz w:val="24"/>
          <w:szCs w:val="24"/>
        </w:rPr>
      </w:pPr>
      <w:r w:rsidRPr="005B4D01">
        <w:rPr>
          <w:rFonts w:ascii="Arial" w:hAnsi="Arial" w:cs="Arial"/>
          <w:sz w:val="24"/>
          <w:szCs w:val="24"/>
        </w:rPr>
        <w:t>MU266 put forward detailed proposals at the insistence of PKC to the consultation event, more than usually associated with a zoning issue, but it soon became clear that approximately 60% of respondents were opposed to its detail, scale and impact.  As a result of analysing responses and further discussion, a revised proposal came forward and I circulated a letter to residents on 3/11/17 enclosed.  Although at the meeting on 7/11/17 of the Community Council, a number of residents voiced their continuing opposition to development here, it was not unanimous and subsequent responses to myself were mixed.  The vast majority of the 350 residents circulated do not appear to have a view either way.  I am personally content with the developer requirements outlined for the site in LDP2.  It has been suggested in submissions that A977 mitigation measures are now accommodated through the PKC budgetary process but you will know from my opening paragraphs they cannot all be met.  I would also challenge the assertion that no affordable housing is required in the rural villages; only housing for the Edinburgh market is being built in our area.  It has also been suggested that a full-size football pitch should be provided on site; I would point out that we already have an under-utilised one at Wa</w:t>
      </w:r>
      <w:r w:rsidR="005B4D01" w:rsidRPr="005B4D01">
        <w:rPr>
          <w:rFonts w:ascii="Arial" w:hAnsi="Arial" w:cs="Arial"/>
          <w:sz w:val="24"/>
          <w:szCs w:val="24"/>
        </w:rPr>
        <w:t>u</w:t>
      </w:r>
      <w:r w:rsidRPr="005B4D01">
        <w:rPr>
          <w:rFonts w:ascii="Arial" w:hAnsi="Arial" w:cs="Arial"/>
          <w:sz w:val="24"/>
          <w:szCs w:val="24"/>
        </w:rPr>
        <w:t>lkmill</w:t>
      </w:r>
      <w:r w:rsidRPr="005B4D01">
        <w:rPr>
          <w:rFonts w:ascii="Arial" w:hAnsi="Arial" w:cs="Arial"/>
          <w:color w:val="FF0000"/>
          <w:sz w:val="24"/>
          <w:szCs w:val="24"/>
        </w:rPr>
        <w:t xml:space="preserve">, </w:t>
      </w:r>
      <w:r w:rsidRPr="005B4D01">
        <w:rPr>
          <w:rFonts w:ascii="Arial" w:hAnsi="Arial" w:cs="Arial"/>
          <w:sz w:val="24"/>
          <w:szCs w:val="24"/>
        </w:rPr>
        <w:t>connected by footpath to the village hall, funded through community endeavour at considerable cost.  The Chair of the Village Hall Committee has confirmed</w:t>
      </w:r>
      <w:r w:rsidR="00BC66E1">
        <w:rPr>
          <w:rFonts w:ascii="Arial" w:hAnsi="Arial" w:cs="Arial"/>
          <w:sz w:val="24"/>
          <w:szCs w:val="24"/>
        </w:rPr>
        <w:t xml:space="preserve"> to me that no such requirement</w:t>
      </w:r>
      <w:r w:rsidRPr="005B4D01">
        <w:rPr>
          <w:rFonts w:ascii="Arial" w:hAnsi="Arial" w:cs="Arial"/>
          <w:sz w:val="24"/>
          <w:szCs w:val="24"/>
        </w:rPr>
        <w:t xml:space="preserve"> is sought, neither is it justified! </w:t>
      </w:r>
    </w:p>
    <w:p w:rsidR="00CB06FF" w:rsidRPr="005B4D01" w:rsidRDefault="00CB06FF" w:rsidP="007240C0">
      <w:pPr>
        <w:jc w:val="both"/>
        <w:rPr>
          <w:rFonts w:ascii="Arial" w:hAnsi="Arial" w:cs="Arial"/>
          <w:sz w:val="24"/>
          <w:szCs w:val="24"/>
        </w:rPr>
      </w:pPr>
    </w:p>
    <w:p w:rsidR="00922492" w:rsidRPr="005B4D01" w:rsidRDefault="00922492" w:rsidP="007240C0">
      <w:pPr>
        <w:jc w:val="both"/>
        <w:rPr>
          <w:rFonts w:ascii="Arial" w:hAnsi="Arial" w:cs="Arial"/>
          <w:sz w:val="24"/>
          <w:szCs w:val="24"/>
        </w:rPr>
      </w:pPr>
      <w:r w:rsidRPr="005B4D01">
        <w:rPr>
          <w:rFonts w:ascii="Arial" w:hAnsi="Arial" w:cs="Arial"/>
          <w:sz w:val="24"/>
          <w:szCs w:val="24"/>
        </w:rPr>
        <w:t>I have noted a suggestion that the southern boundary of the settlement at this locus</w:t>
      </w:r>
      <w:r w:rsidRPr="005B4D01">
        <w:rPr>
          <w:rFonts w:ascii="Arial" w:hAnsi="Arial" w:cs="Arial"/>
          <w:color w:val="FF0000"/>
          <w:sz w:val="24"/>
          <w:szCs w:val="24"/>
        </w:rPr>
        <w:t xml:space="preserve"> </w:t>
      </w:r>
      <w:r w:rsidRPr="005B4D01">
        <w:rPr>
          <w:rFonts w:ascii="Arial" w:hAnsi="Arial" w:cs="Arial"/>
          <w:sz w:val="24"/>
          <w:szCs w:val="24"/>
        </w:rPr>
        <w:t xml:space="preserve">should continue to be the line of the old railway and I agree </w:t>
      </w:r>
      <w:r w:rsidR="0067244E">
        <w:rPr>
          <w:rFonts w:ascii="Arial" w:hAnsi="Arial" w:cs="Arial"/>
          <w:sz w:val="24"/>
          <w:szCs w:val="24"/>
        </w:rPr>
        <w:t xml:space="preserve">with </w:t>
      </w:r>
      <w:r w:rsidRPr="005B4D01">
        <w:rPr>
          <w:rFonts w:ascii="Arial" w:hAnsi="Arial" w:cs="Arial"/>
          <w:sz w:val="24"/>
          <w:szCs w:val="24"/>
        </w:rPr>
        <w:t>this suggestion.</w:t>
      </w:r>
    </w:p>
    <w:p w:rsidR="00922492" w:rsidRDefault="00922492" w:rsidP="007240C0">
      <w:pPr>
        <w:jc w:val="both"/>
        <w:rPr>
          <w:rFonts w:ascii="Arial" w:hAnsi="Arial" w:cs="Arial"/>
          <w:sz w:val="24"/>
          <w:szCs w:val="24"/>
        </w:rPr>
      </w:pPr>
      <w:r w:rsidRPr="005B4D01">
        <w:rPr>
          <w:rFonts w:ascii="Arial" w:hAnsi="Arial" w:cs="Arial"/>
          <w:sz w:val="24"/>
          <w:szCs w:val="24"/>
        </w:rPr>
        <w:t>In any event, any development at this</w:t>
      </w:r>
      <w:r w:rsidRPr="00DC176D">
        <w:rPr>
          <w:rFonts w:ascii="Arial" w:hAnsi="Arial" w:cs="Arial"/>
          <w:sz w:val="24"/>
          <w:szCs w:val="24"/>
        </w:rPr>
        <w:t xml:space="preserve"> locus </w:t>
      </w:r>
      <w:r w:rsidRPr="005B4D01">
        <w:rPr>
          <w:rFonts w:ascii="Arial" w:hAnsi="Arial" w:cs="Arial"/>
          <w:sz w:val="24"/>
          <w:szCs w:val="24"/>
        </w:rPr>
        <w:t>will still be subject to planning approval and may not occur at all unless the drainage issues on the site, manifest recently, are properly addressed.</w:t>
      </w:r>
    </w:p>
    <w:p w:rsidR="00CB06FF" w:rsidRPr="005B4D01" w:rsidRDefault="00CB06FF" w:rsidP="007240C0">
      <w:pPr>
        <w:jc w:val="both"/>
        <w:rPr>
          <w:rFonts w:ascii="Arial" w:hAnsi="Arial" w:cs="Arial"/>
          <w:sz w:val="24"/>
          <w:szCs w:val="24"/>
        </w:rPr>
      </w:pPr>
    </w:p>
    <w:p w:rsidR="00922492" w:rsidRPr="005B4D01" w:rsidRDefault="00922492" w:rsidP="007240C0">
      <w:pPr>
        <w:jc w:val="both"/>
        <w:rPr>
          <w:rFonts w:ascii="Arial" w:hAnsi="Arial" w:cs="Arial"/>
          <w:sz w:val="24"/>
          <w:szCs w:val="24"/>
        </w:rPr>
      </w:pPr>
      <w:r w:rsidRPr="005B4D01">
        <w:rPr>
          <w:rFonts w:ascii="Arial" w:hAnsi="Arial" w:cs="Arial"/>
          <w:sz w:val="24"/>
          <w:szCs w:val="24"/>
        </w:rPr>
        <w:t>I note reference in the settlement summary to the former fish farm brownfield s</w:t>
      </w:r>
      <w:r w:rsidR="00CB06FF">
        <w:rPr>
          <w:rFonts w:ascii="Arial" w:hAnsi="Arial" w:cs="Arial"/>
          <w:sz w:val="24"/>
          <w:szCs w:val="24"/>
        </w:rPr>
        <w:t xml:space="preserve">ite, which has long been </w:t>
      </w:r>
      <w:r w:rsidRPr="005B4D01">
        <w:rPr>
          <w:rFonts w:ascii="Arial" w:hAnsi="Arial" w:cs="Arial"/>
          <w:sz w:val="24"/>
          <w:szCs w:val="24"/>
        </w:rPr>
        <w:t xml:space="preserve">supported by the Strategy Group.  I would be content for either holiday accommodation or housing to be provided on this site, although the comment regarding roadside development appears </w:t>
      </w:r>
      <w:r w:rsidR="0008534F">
        <w:rPr>
          <w:rFonts w:ascii="Arial" w:hAnsi="Arial" w:cs="Arial"/>
          <w:sz w:val="24"/>
          <w:szCs w:val="24"/>
        </w:rPr>
        <w:t>to ignore the existence of the Devo</w:t>
      </w:r>
      <w:r w:rsidRPr="005B4D01">
        <w:rPr>
          <w:rFonts w:ascii="Arial" w:hAnsi="Arial" w:cs="Arial"/>
          <w:sz w:val="24"/>
          <w:szCs w:val="24"/>
        </w:rPr>
        <w:t>n Lade at the roadside here.</w:t>
      </w:r>
    </w:p>
    <w:p w:rsidR="00922492" w:rsidRPr="005B4D01" w:rsidRDefault="00922492" w:rsidP="007240C0">
      <w:pPr>
        <w:jc w:val="both"/>
        <w:rPr>
          <w:rFonts w:ascii="Arial" w:hAnsi="Arial" w:cs="Arial"/>
          <w:sz w:val="24"/>
          <w:szCs w:val="24"/>
        </w:rPr>
      </w:pPr>
    </w:p>
    <w:p w:rsidR="00EE1F9F" w:rsidRDefault="00D77C33"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Powmill</w:t>
      </w:r>
    </w:p>
    <w:p w:rsidR="00EE1F9F" w:rsidRDefault="00EE1F9F" w:rsidP="007240C0">
      <w:pPr>
        <w:jc w:val="both"/>
        <w:rPr>
          <w:rFonts w:ascii="Arial" w:eastAsiaTheme="minorHAnsi" w:hAnsi="Arial" w:cs="Arial"/>
          <w:b/>
          <w:sz w:val="24"/>
          <w:szCs w:val="24"/>
          <w:lang w:eastAsia="en-US"/>
        </w:rPr>
      </w:pPr>
    </w:p>
    <w:p w:rsidR="00EE1F9F" w:rsidRDefault="00FF64DA"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 see merit in the Plan’s suggestion of design-based workshops for the community to build upon the masterplan </w:t>
      </w:r>
      <w:r w:rsidR="00E750EF">
        <w:rPr>
          <w:rFonts w:ascii="Arial" w:eastAsiaTheme="minorHAnsi" w:hAnsi="Arial" w:cs="Arial"/>
          <w:sz w:val="24"/>
          <w:szCs w:val="24"/>
          <w:lang w:eastAsia="en-US"/>
        </w:rPr>
        <w:t>concept rejected by the Reporter</w:t>
      </w:r>
      <w:r>
        <w:rPr>
          <w:rFonts w:ascii="Arial" w:eastAsiaTheme="minorHAnsi" w:hAnsi="Arial" w:cs="Arial"/>
          <w:sz w:val="24"/>
          <w:szCs w:val="24"/>
          <w:lang w:eastAsia="en-US"/>
        </w:rPr>
        <w:t xml:space="preserve"> at LDP1 stage.   I think the settlement boundary would be much improved if the Strategy Group’s settlement map was further explored during these workshops.   I have noted concerns about the range of housing presented for H53 and suggest it is on the high side, the amenity of neighbouring Mill Gardens should be recognised; also there is no requirement for A977 mitigation measures to be addressed through contributions, which I suggest is an oversight (see newsletter article above mentioned)</w:t>
      </w:r>
      <w:r w:rsidR="003141F4">
        <w:rPr>
          <w:rFonts w:ascii="Arial" w:eastAsiaTheme="minorHAnsi" w:hAnsi="Arial" w:cs="Arial"/>
          <w:sz w:val="24"/>
          <w:szCs w:val="24"/>
          <w:lang w:eastAsia="en-US"/>
        </w:rPr>
        <w:t>, It</w:t>
      </w:r>
      <w:r>
        <w:rPr>
          <w:rFonts w:ascii="Arial" w:eastAsiaTheme="minorHAnsi" w:hAnsi="Arial" w:cs="Arial"/>
          <w:sz w:val="24"/>
          <w:szCs w:val="24"/>
          <w:lang w:eastAsia="en-US"/>
        </w:rPr>
        <w:t xml:space="preserve"> was always thought that development in Powmill should encompass proposals to improve the A977/A823 junction and they could easily be costed.</w:t>
      </w:r>
    </w:p>
    <w:p w:rsidR="00AF2DDA" w:rsidRDefault="00AF2DDA" w:rsidP="007240C0">
      <w:pPr>
        <w:jc w:val="both"/>
        <w:rPr>
          <w:rFonts w:ascii="Arial" w:eastAsiaTheme="minorHAnsi" w:hAnsi="Arial" w:cs="Arial"/>
          <w:sz w:val="24"/>
          <w:szCs w:val="24"/>
          <w:lang w:eastAsia="en-US"/>
        </w:rPr>
      </w:pPr>
    </w:p>
    <w:p w:rsidR="00AF2DDA" w:rsidRDefault="00AF2DDA" w:rsidP="007240C0">
      <w:pPr>
        <w:jc w:val="both"/>
        <w:rPr>
          <w:rFonts w:ascii="Arial" w:eastAsiaTheme="minorHAnsi" w:hAnsi="Arial" w:cs="Arial"/>
          <w:sz w:val="24"/>
          <w:szCs w:val="24"/>
          <w:lang w:eastAsia="en-US"/>
        </w:rPr>
      </w:pPr>
    </w:p>
    <w:p w:rsidR="00AF2DDA" w:rsidRDefault="00AF2DDA" w:rsidP="007240C0">
      <w:pPr>
        <w:jc w:val="both"/>
        <w:rPr>
          <w:rFonts w:ascii="Arial" w:eastAsiaTheme="minorHAnsi" w:hAnsi="Arial" w:cs="Arial"/>
          <w:sz w:val="24"/>
          <w:szCs w:val="24"/>
          <w:lang w:eastAsia="en-US"/>
        </w:rPr>
      </w:pPr>
    </w:p>
    <w:p w:rsidR="00AF2DDA" w:rsidRDefault="00AF2DDA" w:rsidP="007240C0">
      <w:pPr>
        <w:jc w:val="both"/>
        <w:rPr>
          <w:rFonts w:ascii="Arial" w:eastAsiaTheme="minorHAnsi" w:hAnsi="Arial" w:cs="Arial"/>
          <w:sz w:val="24"/>
          <w:szCs w:val="24"/>
          <w:lang w:eastAsia="en-US"/>
        </w:rPr>
      </w:pPr>
    </w:p>
    <w:p w:rsidR="00AF2DDA" w:rsidRDefault="00AF2DDA"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6</w:t>
      </w:r>
    </w:p>
    <w:p w:rsidR="00AF2DDA" w:rsidRDefault="00AF2DDA" w:rsidP="007240C0">
      <w:pPr>
        <w:jc w:val="both"/>
        <w:rPr>
          <w:rFonts w:ascii="Arial" w:eastAsiaTheme="minorHAnsi" w:hAnsi="Arial" w:cs="Arial"/>
          <w:sz w:val="24"/>
          <w:szCs w:val="24"/>
          <w:lang w:eastAsia="en-US"/>
        </w:rPr>
      </w:pPr>
    </w:p>
    <w:p w:rsidR="00AF2DDA" w:rsidRDefault="00AF2DDA" w:rsidP="007240C0">
      <w:pPr>
        <w:jc w:val="both"/>
        <w:rPr>
          <w:rFonts w:ascii="Arial" w:eastAsiaTheme="minorHAnsi" w:hAnsi="Arial" w:cs="Arial"/>
          <w:sz w:val="24"/>
          <w:szCs w:val="24"/>
          <w:lang w:eastAsia="en-US"/>
        </w:rPr>
      </w:pPr>
    </w:p>
    <w:p w:rsidR="00FF64DA" w:rsidRDefault="00D77C33"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Rumbling Bridge</w:t>
      </w:r>
    </w:p>
    <w:p w:rsidR="00FF64DA" w:rsidRDefault="00FF64DA" w:rsidP="007240C0">
      <w:pPr>
        <w:jc w:val="both"/>
        <w:rPr>
          <w:rFonts w:ascii="Arial" w:eastAsiaTheme="minorHAnsi" w:hAnsi="Arial" w:cs="Arial"/>
          <w:b/>
          <w:sz w:val="24"/>
          <w:szCs w:val="24"/>
          <w:lang w:eastAsia="en-US"/>
        </w:rPr>
      </w:pPr>
    </w:p>
    <w:p w:rsidR="00FF64DA" w:rsidRDefault="005F5626"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 support E24 and the amendment to the settlement boundary to include open space on the former area of village </w:t>
      </w:r>
      <w:r w:rsidR="00D16398">
        <w:rPr>
          <w:rFonts w:ascii="Arial" w:eastAsiaTheme="minorHAnsi" w:hAnsi="Arial" w:cs="Arial"/>
          <w:sz w:val="24"/>
          <w:szCs w:val="24"/>
          <w:lang w:eastAsia="en-US"/>
        </w:rPr>
        <w:t xml:space="preserve">setting </w:t>
      </w:r>
      <w:r>
        <w:rPr>
          <w:rFonts w:ascii="Arial" w:eastAsiaTheme="minorHAnsi" w:hAnsi="Arial" w:cs="Arial"/>
          <w:sz w:val="24"/>
          <w:szCs w:val="24"/>
          <w:lang w:eastAsia="en-US"/>
        </w:rPr>
        <w:t xml:space="preserve">to the </w:t>
      </w:r>
      <w:proofErr w:type="gramStart"/>
      <w:r>
        <w:rPr>
          <w:rFonts w:ascii="Arial" w:eastAsiaTheme="minorHAnsi" w:hAnsi="Arial" w:cs="Arial"/>
          <w:sz w:val="24"/>
          <w:szCs w:val="24"/>
          <w:lang w:eastAsia="en-US"/>
        </w:rPr>
        <w:t>north,</w:t>
      </w:r>
      <w:proofErr w:type="gramEnd"/>
      <w:r>
        <w:rPr>
          <w:rFonts w:ascii="Arial" w:eastAsiaTheme="minorHAnsi" w:hAnsi="Arial" w:cs="Arial"/>
          <w:sz w:val="24"/>
          <w:szCs w:val="24"/>
          <w:lang w:eastAsia="en-US"/>
        </w:rPr>
        <w:t xml:space="preserve"> this is a much better boundary than LDP1 and will allow further discussions within the community on possible benefits such as footpath and parking improvements etc, to enhance access to the gorge.</w:t>
      </w:r>
    </w:p>
    <w:p w:rsidR="002C23D5" w:rsidRDefault="002C23D5" w:rsidP="007240C0">
      <w:pPr>
        <w:jc w:val="both"/>
        <w:rPr>
          <w:rFonts w:ascii="Arial" w:eastAsiaTheme="minorHAnsi" w:hAnsi="Arial" w:cs="Arial"/>
          <w:b/>
          <w:sz w:val="24"/>
          <w:szCs w:val="24"/>
          <w:lang w:eastAsia="en-US"/>
        </w:rPr>
      </w:pPr>
    </w:p>
    <w:p w:rsidR="00D77C33" w:rsidRDefault="00EF5BDC"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GLENF</w:t>
      </w:r>
      <w:r w:rsidR="00D77C33">
        <w:rPr>
          <w:rFonts w:ascii="Arial" w:eastAsiaTheme="minorHAnsi" w:hAnsi="Arial" w:cs="Arial"/>
          <w:b/>
          <w:sz w:val="24"/>
          <w:szCs w:val="24"/>
          <w:lang w:eastAsia="en-US"/>
        </w:rPr>
        <w:t>ARG</w:t>
      </w:r>
    </w:p>
    <w:p w:rsidR="00D77C33" w:rsidRDefault="00D77C33" w:rsidP="007240C0">
      <w:pPr>
        <w:jc w:val="both"/>
        <w:rPr>
          <w:rFonts w:ascii="Arial" w:eastAsiaTheme="minorHAnsi" w:hAnsi="Arial" w:cs="Arial"/>
          <w:b/>
          <w:sz w:val="24"/>
          <w:szCs w:val="24"/>
          <w:lang w:eastAsia="en-US"/>
        </w:rPr>
      </w:pPr>
    </w:p>
    <w:p w:rsidR="00D77C33" w:rsidRDefault="00D77C33"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Would the settlement boundary prohibit</w:t>
      </w:r>
      <w:r w:rsidR="008C1356">
        <w:rPr>
          <w:rFonts w:ascii="Arial" w:eastAsiaTheme="minorHAnsi" w:hAnsi="Arial" w:cs="Arial"/>
          <w:sz w:val="24"/>
          <w:szCs w:val="24"/>
          <w:lang w:eastAsia="en-US"/>
        </w:rPr>
        <w:t xml:space="preserve"> a</w:t>
      </w:r>
      <w:r w:rsidR="006C6D89">
        <w:rPr>
          <w:rFonts w:ascii="Arial" w:eastAsiaTheme="minorHAnsi" w:hAnsi="Arial" w:cs="Arial"/>
          <w:sz w:val="24"/>
          <w:szCs w:val="24"/>
          <w:lang w:eastAsia="en-US"/>
        </w:rPr>
        <w:t>n Employment site</w:t>
      </w:r>
      <w:r w:rsidR="008C1356">
        <w:rPr>
          <w:rFonts w:ascii="Arial" w:eastAsiaTheme="minorHAnsi" w:hAnsi="Arial" w:cs="Arial"/>
          <w:sz w:val="24"/>
          <w:szCs w:val="24"/>
          <w:lang w:eastAsia="en-US"/>
        </w:rPr>
        <w:t>?</w:t>
      </w:r>
    </w:p>
    <w:p w:rsidR="006C6D89" w:rsidRDefault="006C6D89" w:rsidP="007240C0">
      <w:pPr>
        <w:jc w:val="both"/>
        <w:rPr>
          <w:rFonts w:ascii="Arial" w:eastAsiaTheme="minorHAnsi" w:hAnsi="Arial" w:cs="Arial"/>
          <w:sz w:val="24"/>
          <w:szCs w:val="24"/>
          <w:lang w:eastAsia="en-US"/>
        </w:rPr>
      </w:pPr>
    </w:p>
    <w:p w:rsidR="006C6D89" w:rsidRDefault="006C6D89"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KINROSS &amp; MILNATHORT</w:t>
      </w:r>
    </w:p>
    <w:p w:rsidR="006C6D89" w:rsidRDefault="006C6D89" w:rsidP="007240C0">
      <w:pPr>
        <w:jc w:val="both"/>
        <w:rPr>
          <w:rFonts w:ascii="Arial" w:eastAsiaTheme="minorHAnsi" w:hAnsi="Arial" w:cs="Arial"/>
          <w:b/>
          <w:sz w:val="24"/>
          <w:szCs w:val="24"/>
          <w:lang w:eastAsia="en-US"/>
        </w:rPr>
      </w:pPr>
    </w:p>
    <w:p w:rsidR="006C6D89" w:rsidRDefault="006C6D89"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 have concerns about the current level of housing growth here, in particular sharing Councillor Robertson’s view on the apparent disregard of planning conditions on the Kinross High School and Lathro Farm sites.</w:t>
      </w:r>
    </w:p>
    <w:p w:rsidR="006C6D89" w:rsidRDefault="006C6D89" w:rsidP="007240C0">
      <w:pPr>
        <w:jc w:val="both"/>
        <w:rPr>
          <w:rFonts w:ascii="Arial" w:eastAsiaTheme="minorHAnsi" w:hAnsi="Arial" w:cs="Arial"/>
          <w:sz w:val="24"/>
          <w:szCs w:val="24"/>
          <w:lang w:eastAsia="en-US"/>
        </w:rPr>
      </w:pPr>
    </w:p>
    <w:p w:rsidR="006C6D89" w:rsidRDefault="006C6D89"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Is a community masterplan approach facilitated by LDP2?</w:t>
      </w:r>
    </w:p>
    <w:p w:rsidR="006C6D89" w:rsidRDefault="006C6D89" w:rsidP="007240C0">
      <w:pPr>
        <w:jc w:val="both"/>
        <w:rPr>
          <w:rFonts w:ascii="Arial" w:eastAsiaTheme="minorHAnsi" w:hAnsi="Arial" w:cs="Arial"/>
          <w:sz w:val="24"/>
          <w:szCs w:val="24"/>
          <w:lang w:eastAsia="en-US"/>
        </w:rPr>
      </w:pPr>
    </w:p>
    <w:p w:rsidR="006C6D89" w:rsidRDefault="006C6D89"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 have noted a number of objections relating to the H49 Pacehill site in Milnathort but understood this site has already receive</w:t>
      </w:r>
      <w:r w:rsidR="000E1A2F">
        <w:rPr>
          <w:rFonts w:ascii="Arial" w:eastAsiaTheme="minorHAnsi" w:hAnsi="Arial" w:cs="Arial"/>
          <w:sz w:val="24"/>
          <w:szCs w:val="24"/>
          <w:lang w:eastAsia="en-US"/>
        </w:rPr>
        <w:t>d</w:t>
      </w:r>
      <w:r>
        <w:rPr>
          <w:rFonts w:ascii="Arial" w:eastAsiaTheme="minorHAnsi" w:hAnsi="Arial" w:cs="Arial"/>
          <w:sz w:val="24"/>
          <w:szCs w:val="24"/>
          <w:lang w:eastAsia="en-US"/>
        </w:rPr>
        <w:t xml:space="preserve"> planning permission, against my wishes, for I believe it is over-development.</w:t>
      </w:r>
    </w:p>
    <w:p w:rsidR="006C6D89" w:rsidRDefault="006C6D89" w:rsidP="007240C0">
      <w:pPr>
        <w:jc w:val="both"/>
        <w:rPr>
          <w:rFonts w:ascii="Arial" w:eastAsiaTheme="minorHAnsi" w:hAnsi="Arial" w:cs="Arial"/>
          <w:sz w:val="24"/>
          <w:szCs w:val="24"/>
          <w:lang w:eastAsia="en-US"/>
        </w:rPr>
      </w:pPr>
    </w:p>
    <w:p w:rsidR="006C6D89" w:rsidRDefault="006C6D89" w:rsidP="007240C0">
      <w:pPr>
        <w:jc w:val="both"/>
        <w:rPr>
          <w:rFonts w:ascii="Arial" w:eastAsiaTheme="minorHAnsi" w:hAnsi="Arial" w:cs="Arial"/>
          <w:b/>
          <w:sz w:val="24"/>
          <w:szCs w:val="24"/>
          <w:lang w:eastAsia="en-US"/>
        </w:rPr>
      </w:pPr>
      <w:r>
        <w:rPr>
          <w:rFonts w:ascii="Arial" w:eastAsiaTheme="minorHAnsi" w:hAnsi="Arial" w:cs="Arial"/>
          <w:b/>
          <w:sz w:val="24"/>
          <w:szCs w:val="24"/>
          <w:lang w:eastAsia="en-US"/>
        </w:rPr>
        <w:t>PORTMOAK</w:t>
      </w:r>
    </w:p>
    <w:p w:rsidR="006C6D89" w:rsidRDefault="006C6D89" w:rsidP="007240C0">
      <w:pPr>
        <w:jc w:val="both"/>
        <w:rPr>
          <w:rFonts w:ascii="Arial" w:eastAsiaTheme="minorHAnsi" w:hAnsi="Arial" w:cs="Arial"/>
          <w:b/>
          <w:sz w:val="24"/>
          <w:szCs w:val="24"/>
          <w:lang w:eastAsia="en-US"/>
        </w:rPr>
      </w:pPr>
    </w:p>
    <w:p w:rsidR="006C6D89" w:rsidRDefault="006C6D89"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 am content with the settlement </w:t>
      </w:r>
      <w:r w:rsidR="00751EB1">
        <w:rPr>
          <w:rFonts w:ascii="Arial" w:eastAsiaTheme="minorHAnsi" w:hAnsi="Arial" w:cs="Arial"/>
          <w:sz w:val="24"/>
          <w:szCs w:val="24"/>
          <w:lang w:eastAsia="en-US"/>
        </w:rPr>
        <w:t xml:space="preserve">boundaries in this </w:t>
      </w:r>
      <w:bookmarkStart w:id="0" w:name="_GoBack"/>
      <w:bookmarkEnd w:id="0"/>
      <w:r>
        <w:rPr>
          <w:rFonts w:ascii="Arial" w:eastAsiaTheme="minorHAnsi" w:hAnsi="Arial" w:cs="Arial"/>
          <w:sz w:val="24"/>
          <w:szCs w:val="24"/>
          <w:lang w:eastAsia="en-US"/>
        </w:rPr>
        <w:t xml:space="preserve">Community Council area, however in </w:t>
      </w:r>
      <w:proofErr w:type="spellStart"/>
      <w:r w:rsidR="00EE4D81">
        <w:rPr>
          <w:rFonts w:ascii="Arial" w:eastAsiaTheme="minorHAnsi" w:hAnsi="Arial" w:cs="Arial"/>
          <w:b/>
          <w:sz w:val="24"/>
          <w:szCs w:val="24"/>
          <w:lang w:eastAsia="en-US"/>
        </w:rPr>
        <w:t>Kinnesswood</w:t>
      </w:r>
      <w:proofErr w:type="spellEnd"/>
      <w:r w:rsidR="00EE4D81">
        <w:rPr>
          <w:rFonts w:ascii="Arial" w:eastAsiaTheme="minorHAnsi" w:hAnsi="Arial" w:cs="Arial"/>
          <w:b/>
          <w:sz w:val="24"/>
          <w:szCs w:val="24"/>
          <w:lang w:eastAsia="en-US"/>
        </w:rPr>
        <w:t xml:space="preserve"> </w:t>
      </w:r>
      <w:r>
        <w:rPr>
          <w:rFonts w:ascii="Arial" w:eastAsiaTheme="minorHAnsi" w:hAnsi="Arial" w:cs="Arial"/>
          <w:sz w:val="24"/>
          <w:szCs w:val="24"/>
          <w:lang w:eastAsia="en-US"/>
        </w:rPr>
        <w:t>I would like to see a successful outcome to the Community Council’s dialogue with the landowner, in order that Stephen’s field can be acquired for community use.</w:t>
      </w:r>
    </w:p>
    <w:p w:rsidR="006C6D89" w:rsidRDefault="006C6D89" w:rsidP="007240C0">
      <w:pPr>
        <w:jc w:val="both"/>
        <w:rPr>
          <w:rFonts w:ascii="Arial" w:eastAsiaTheme="minorHAnsi" w:hAnsi="Arial" w:cs="Arial"/>
          <w:sz w:val="24"/>
          <w:szCs w:val="24"/>
          <w:lang w:eastAsia="en-US"/>
        </w:rPr>
      </w:pPr>
    </w:p>
    <w:p w:rsidR="006C6D89" w:rsidRDefault="00B5119D"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I apologise for the length of this submission but hope you f</w:t>
      </w:r>
      <w:r w:rsidR="00553349">
        <w:rPr>
          <w:rFonts w:ascii="Arial" w:eastAsiaTheme="minorHAnsi" w:hAnsi="Arial" w:cs="Arial"/>
          <w:sz w:val="24"/>
          <w:szCs w:val="24"/>
          <w:lang w:eastAsia="en-US"/>
        </w:rPr>
        <w:t>ind it of assistance in finalising</w:t>
      </w:r>
      <w:r>
        <w:rPr>
          <w:rFonts w:ascii="Arial" w:eastAsiaTheme="minorHAnsi" w:hAnsi="Arial" w:cs="Arial"/>
          <w:sz w:val="24"/>
          <w:szCs w:val="24"/>
          <w:lang w:eastAsia="en-US"/>
        </w:rPr>
        <w:t xml:space="preserve"> the Proposed Plan for PKC and Scottish Government scrutiny.  Please let me know if you require further background information to support my comments.</w:t>
      </w:r>
    </w:p>
    <w:p w:rsidR="00B5119D" w:rsidRDefault="00B5119D" w:rsidP="007240C0">
      <w:pPr>
        <w:jc w:val="both"/>
        <w:rPr>
          <w:rFonts w:ascii="Arial" w:eastAsiaTheme="minorHAnsi" w:hAnsi="Arial" w:cs="Arial"/>
          <w:sz w:val="24"/>
          <w:szCs w:val="24"/>
          <w:lang w:eastAsia="en-US"/>
        </w:rPr>
      </w:pPr>
    </w:p>
    <w:p w:rsidR="004B25DA" w:rsidRDefault="004B25DA" w:rsidP="007240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Yours </w:t>
      </w:r>
      <w:r w:rsidR="00B01FED">
        <w:rPr>
          <w:rFonts w:ascii="Arial" w:eastAsiaTheme="minorHAnsi" w:hAnsi="Arial" w:cs="Arial"/>
          <w:sz w:val="24"/>
          <w:szCs w:val="24"/>
          <w:lang w:eastAsia="en-US"/>
        </w:rPr>
        <w:t>sincerely</w:t>
      </w:r>
    </w:p>
    <w:p w:rsidR="004B25DA" w:rsidRDefault="004B25DA" w:rsidP="007240C0">
      <w:pPr>
        <w:jc w:val="both"/>
        <w:rPr>
          <w:rFonts w:ascii="Arial" w:eastAsiaTheme="minorHAnsi" w:hAnsi="Arial" w:cs="Arial"/>
          <w:sz w:val="24"/>
          <w:szCs w:val="24"/>
          <w:lang w:eastAsia="en-US"/>
        </w:rPr>
      </w:pPr>
    </w:p>
    <w:p w:rsidR="004B25DA" w:rsidRPr="004B25DA" w:rsidRDefault="004B25DA" w:rsidP="007240C0">
      <w:pPr>
        <w:jc w:val="both"/>
        <w:rPr>
          <w:rFonts w:ascii="Arial" w:eastAsiaTheme="minorHAnsi" w:hAnsi="Arial" w:cs="Arial"/>
          <w:sz w:val="24"/>
          <w:szCs w:val="24"/>
          <w:lang w:eastAsia="en-US"/>
        </w:rPr>
      </w:pPr>
      <w:r w:rsidRPr="006C7601">
        <w:rPr>
          <w:rFonts w:ascii="Arial" w:hAnsi="Arial" w:cs="Arial"/>
          <w:noProof/>
          <w:sz w:val="22"/>
          <w:szCs w:val="22"/>
        </w:rPr>
        <w:drawing>
          <wp:inline distT="0" distB="0" distL="0" distR="0" wp14:anchorId="64D567A4" wp14:editId="69F5EF7E">
            <wp:extent cx="1539240" cy="518160"/>
            <wp:effectExtent l="0" t="0" r="0" b="0"/>
            <wp:docPr id="2" name="Picture 2"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2"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4B25DA" w:rsidRPr="00ED4BD4" w:rsidRDefault="004B25DA" w:rsidP="007240C0">
      <w:pPr>
        <w:jc w:val="both"/>
        <w:rPr>
          <w:rFonts w:ascii="Arial" w:hAnsi="Arial" w:cs="Arial"/>
          <w:sz w:val="22"/>
          <w:szCs w:val="22"/>
          <w:lang w:eastAsia="en-US"/>
        </w:rPr>
      </w:pPr>
      <w:r w:rsidRPr="00ED4BD4">
        <w:rPr>
          <w:rFonts w:ascii="Arial" w:hAnsi="Arial" w:cs="Arial"/>
          <w:sz w:val="22"/>
          <w:szCs w:val="22"/>
          <w:lang w:eastAsia="en-US"/>
        </w:rPr>
        <w:t>Cllr Michael Barnacle</w:t>
      </w:r>
    </w:p>
    <w:p w:rsidR="004B25DA" w:rsidRDefault="004B25DA" w:rsidP="007240C0">
      <w:pPr>
        <w:jc w:val="both"/>
        <w:rPr>
          <w:rFonts w:ascii="Arial" w:hAnsi="Arial" w:cs="Arial"/>
          <w:sz w:val="22"/>
          <w:szCs w:val="22"/>
          <w:lang w:eastAsia="en-US"/>
        </w:rPr>
      </w:pPr>
      <w:r w:rsidRPr="00ED4BD4">
        <w:rPr>
          <w:rFonts w:ascii="Arial" w:hAnsi="Arial" w:cs="Arial"/>
          <w:sz w:val="22"/>
          <w:szCs w:val="22"/>
          <w:lang w:eastAsia="en-US"/>
        </w:rPr>
        <w:t xml:space="preserve">Independent Member </w:t>
      </w:r>
      <w:r>
        <w:rPr>
          <w:rFonts w:ascii="Arial" w:hAnsi="Arial" w:cs="Arial"/>
          <w:sz w:val="22"/>
          <w:szCs w:val="22"/>
          <w:lang w:eastAsia="en-US"/>
        </w:rPr>
        <w:t xml:space="preserve">for </w:t>
      </w:r>
      <w:r w:rsidRPr="00ED4BD4">
        <w:rPr>
          <w:rFonts w:ascii="Arial" w:hAnsi="Arial" w:cs="Arial"/>
          <w:sz w:val="22"/>
          <w:szCs w:val="22"/>
          <w:lang w:eastAsia="en-US"/>
        </w:rPr>
        <w:t>Kinross-shire</w:t>
      </w:r>
    </w:p>
    <w:p w:rsidR="00F929F0" w:rsidRDefault="008C131C" w:rsidP="007240C0">
      <w:pPr>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
    <w:p w:rsidR="008C131C" w:rsidRDefault="008C131C" w:rsidP="007240C0">
      <w:pPr>
        <w:jc w:val="both"/>
        <w:rPr>
          <w:rFonts w:ascii="Arial" w:hAnsi="Arial" w:cs="Arial"/>
          <w:sz w:val="22"/>
          <w:szCs w:val="22"/>
          <w:lang w:eastAsia="en-US"/>
        </w:rPr>
      </w:pPr>
    </w:p>
    <w:p w:rsidR="008C131C" w:rsidRDefault="008C131C" w:rsidP="007240C0">
      <w:pPr>
        <w:jc w:val="both"/>
        <w:rPr>
          <w:rFonts w:ascii="Arial" w:hAnsi="Arial" w:cs="Arial"/>
          <w:sz w:val="22"/>
          <w:szCs w:val="22"/>
          <w:lang w:eastAsia="en-US"/>
        </w:rPr>
      </w:pPr>
    </w:p>
    <w:p w:rsidR="008C131C" w:rsidRDefault="008C131C" w:rsidP="007240C0">
      <w:pPr>
        <w:jc w:val="both"/>
        <w:rPr>
          <w:rFonts w:ascii="Arial" w:hAnsi="Arial" w:cs="Arial"/>
          <w:sz w:val="22"/>
          <w:szCs w:val="22"/>
          <w:lang w:eastAsia="en-US"/>
        </w:rPr>
      </w:pPr>
    </w:p>
    <w:p w:rsidR="008C131C" w:rsidRDefault="008C131C" w:rsidP="007240C0">
      <w:pPr>
        <w:jc w:val="both"/>
        <w:rPr>
          <w:rFonts w:ascii="Arial" w:hAnsi="Arial" w:cs="Arial"/>
          <w:sz w:val="22"/>
          <w:szCs w:val="22"/>
          <w:lang w:eastAsia="en-US"/>
        </w:rPr>
      </w:pPr>
    </w:p>
    <w:p w:rsidR="008C131C" w:rsidRDefault="008C131C" w:rsidP="007240C0">
      <w:pPr>
        <w:jc w:val="both"/>
        <w:rPr>
          <w:rFonts w:ascii="Arial" w:hAnsi="Arial" w:cs="Arial"/>
          <w:sz w:val="22"/>
          <w:szCs w:val="22"/>
          <w:lang w:eastAsia="en-US"/>
        </w:rPr>
      </w:pPr>
    </w:p>
    <w:p w:rsidR="00D66199" w:rsidRDefault="00D66199" w:rsidP="004B25DA">
      <w:pPr>
        <w:jc w:val="both"/>
        <w:rPr>
          <w:rFonts w:ascii="Arial" w:hAnsi="Arial" w:cs="Arial"/>
          <w:sz w:val="22"/>
          <w:szCs w:val="22"/>
          <w:u w:val="single"/>
          <w:lang w:eastAsia="en-US"/>
        </w:rPr>
      </w:pPr>
    </w:p>
    <w:p w:rsidR="00D66199" w:rsidRDefault="00D66199" w:rsidP="004B25DA">
      <w:pPr>
        <w:jc w:val="both"/>
        <w:rPr>
          <w:rFonts w:ascii="Arial" w:hAnsi="Arial" w:cs="Arial"/>
          <w:sz w:val="22"/>
          <w:szCs w:val="22"/>
          <w:u w:val="single"/>
          <w:lang w:eastAsia="en-US"/>
        </w:rPr>
      </w:pPr>
    </w:p>
    <w:p w:rsidR="008C131C" w:rsidRDefault="008C131C" w:rsidP="004B25DA">
      <w:pPr>
        <w:jc w:val="both"/>
        <w:rPr>
          <w:rFonts w:ascii="Arial" w:hAnsi="Arial" w:cs="Arial"/>
          <w:sz w:val="22"/>
          <w:szCs w:val="22"/>
          <w:lang w:eastAsia="en-US"/>
        </w:rPr>
      </w:pPr>
      <w:r w:rsidRPr="005F10FA">
        <w:rPr>
          <w:rFonts w:ascii="Arial" w:hAnsi="Arial" w:cs="Arial"/>
          <w:sz w:val="22"/>
          <w:szCs w:val="22"/>
          <w:u w:val="single"/>
          <w:lang w:eastAsia="en-US"/>
        </w:rPr>
        <w:lastRenderedPageBreak/>
        <w:t>Circulation List</w:t>
      </w:r>
      <w:r>
        <w:rPr>
          <w:rFonts w:ascii="Arial" w:hAnsi="Arial" w:cs="Arial"/>
          <w:sz w:val="22"/>
          <w:szCs w:val="22"/>
          <w:lang w:eastAsia="en-US"/>
        </w:rPr>
        <w:t>:</w:t>
      </w:r>
    </w:p>
    <w:p w:rsidR="00D07131" w:rsidRDefault="00D07131" w:rsidP="004B25DA">
      <w:pPr>
        <w:jc w:val="both"/>
        <w:rPr>
          <w:rFonts w:ascii="Arial" w:hAnsi="Arial" w:cs="Arial"/>
          <w:sz w:val="22"/>
          <w:szCs w:val="22"/>
          <w:lang w:eastAsia="en-US"/>
        </w:rPr>
      </w:pPr>
    </w:p>
    <w:p w:rsidR="00D07131" w:rsidRDefault="00D07131" w:rsidP="004B25DA">
      <w:pPr>
        <w:jc w:val="both"/>
        <w:rPr>
          <w:rFonts w:ascii="Arial" w:hAnsi="Arial" w:cs="Arial"/>
          <w:sz w:val="22"/>
          <w:szCs w:val="22"/>
          <w:lang w:eastAsia="en-US"/>
        </w:rPr>
      </w:pPr>
      <w:r>
        <w:rPr>
          <w:rFonts w:ascii="Arial" w:hAnsi="Arial" w:cs="Arial"/>
          <w:sz w:val="22"/>
          <w:szCs w:val="22"/>
          <w:lang w:eastAsia="en-US"/>
        </w:rPr>
        <w:t>Councillor Willie Robertson</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Councillor Richard Watters</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Councillor Callum Purves</w:t>
      </w:r>
    </w:p>
    <w:p w:rsidR="00D07131" w:rsidRDefault="00D07131" w:rsidP="004B25DA">
      <w:pPr>
        <w:jc w:val="both"/>
        <w:rPr>
          <w:rFonts w:ascii="Arial" w:hAnsi="Arial" w:cs="Arial"/>
          <w:sz w:val="22"/>
          <w:szCs w:val="22"/>
          <w:lang w:eastAsia="en-US"/>
        </w:rPr>
      </w:pPr>
      <w:proofErr w:type="spellStart"/>
      <w:r>
        <w:rPr>
          <w:rFonts w:ascii="Arial" w:hAnsi="Arial" w:cs="Arial"/>
          <w:sz w:val="22"/>
          <w:szCs w:val="22"/>
          <w:lang w:eastAsia="en-US"/>
        </w:rPr>
        <w:t>Cleish</w:t>
      </w:r>
      <w:proofErr w:type="spellEnd"/>
      <w:r>
        <w:rPr>
          <w:rFonts w:ascii="Arial" w:hAnsi="Arial" w:cs="Arial"/>
          <w:sz w:val="22"/>
          <w:szCs w:val="22"/>
          <w:lang w:eastAsia="en-US"/>
        </w:rPr>
        <w:t xml:space="preserve"> and </w:t>
      </w:r>
      <w:proofErr w:type="spellStart"/>
      <w:r>
        <w:rPr>
          <w:rFonts w:ascii="Arial" w:hAnsi="Arial" w:cs="Arial"/>
          <w:sz w:val="22"/>
          <w:szCs w:val="22"/>
          <w:lang w:eastAsia="en-US"/>
        </w:rPr>
        <w:t>Blairadam</w:t>
      </w:r>
      <w:proofErr w:type="spellEnd"/>
      <w:r>
        <w:rPr>
          <w:rFonts w:ascii="Arial" w:hAnsi="Arial" w:cs="Arial"/>
          <w:sz w:val="22"/>
          <w:szCs w:val="22"/>
          <w:lang w:eastAsia="en-US"/>
        </w:rPr>
        <w:t xml:space="preserve"> CC</w:t>
      </w:r>
    </w:p>
    <w:p w:rsidR="00D07131" w:rsidRDefault="00D07131" w:rsidP="004B25DA">
      <w:pPr>
        <w:jc w:val="both"/>
        <w:rPr>
          <w:rFonts w:ascii="Arial" w:hAnsi="Arial" w:cs="Arial"/>
          <w:sz w:val="22"/>
          <w:szCs w:val="22"/>
          <w:lang w:eastAsia="en-US"/>
        </w:rPr>
      </w:pPr>
      <w:proofErr w:type="spellStart"/>
      <w:r>
        <w:rPr>
          <w:rFonts w:ascii="Arial" w:hAnsi="Arial" w:cs="Arial"/>
          <w:sz w:val="22"/>
          <w:szCs w:val="22"/>
          <w:lang w:eastAsia="en-US"/>
        </w:rPr>
        <w:t>Fossoway</w:t>
      </w:r>
      <w:proofErr w:type="spellEnd"/>
      <w:r>
        <w:rPr>
          <w:rFonts w:ascii="Arial" w:hAnsi="Arial" w:cs="Arial"/>
          <w:sz w:val="22"/>
          <w:szCs w:val="22"/>
          <w:lang w:eastAsia="en-US"/>
        </w:rPr>
        <w:t xml:space="preserve"> CC</w:t>
      </w:r>
    </w:p>
    <w:p w:rsidR="00D07131" w:rsidRDefault="00D07131" w:rsidP="004B25DA">
      <w:pPr>
        <w:jc w:val="both"/>
        <w:rPr>
          <w:rFonts w:ascii="Arial" w:hAnsi="Arial" w:cs="Arial"/>
          <w:sz w:val="22"/>
          <w:szCs w:val="22"/>
          <w:lang w:eastAsia="en-US"/>
        </w:rPr>
      </w:pPr>
      <w:proofErr w:type="spellStart"/>
      <w:r>
        <w:rPr>
          <w:rFonts w:ascii="Arial" w:hAnsi="Arial" w:cs="Arial"/>
          <w:sz w:val="22"/>
          <w:szCs w:val="22"/>
          <w:lang w:eastAsia="en-US"/>
        </w:rPr>
        <w:t>Glenfarg</w:t>
      </w:r>
      <w:proofErr w:type="spellEnd"/>
      <w:r>
        <w:rPr>
          <w:rFonts w:ascii="Arial" w:hAnsi="Arial" w:cs="Arial"/>
          <w:sz w:val="22"/>
          <w:szCs w:val="22"/>
          <w:lang w:eastAsia="en-US"/>
        </w:rPr>
        <w:t xml:space="preserve"> CC</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Kinross CC</w:t>
      </w:r>
    </w:p>
    <w:p w:rsidR="00D07131" w:rsidRDefault="00D07131" w:rsidP="004B25DA">
      <w:pPr>
        <w:jc w:val="both"/>
        <w:rPr>
          <w:rFonts w:ascii="Arial" w:hAnsi="Arial" w:cs="Arial"/>
          <w:sz w:val="22"/>
          <w:szCs w:val="22"/>
          <w:lang w:eastAsia="en-US"/>
        </w:rPr>
      </w:pPr>
      <w:proofErr w:type="spellStart"/>
      <w:r>
        <w:rPr>
          <w:rFonts w:ascii="Arial" w:hAnsi="Arial" w:cs="Arial"/>
          <w:sz w:val="22"/>
          <w:szCs w:val="22"/>
          <w:lang w:eastAsia="en-US"/>
        </w:rPr>
        <w:t>Milnathort</w:t>
      </w:r>
      <w:proofErr w:type="spellEnd"/>
      <w:r>
        <w:rPr>
          <w:rFonts w:ascii="Arial" w:hAnsi="Arial" w:cs="Arial"/>
          <w:sz w:val="22"/>
          <w:szCs w:val="22"/>
          <w:lang w:eastAsia="en-US"/>
        </w:rPr>
        <w:t xml:space="preserve"> CC</w:t>
      </w:r>
    </w:p>
    <w:p w:rsidR="00D07131" w:rsidRDefault="00D07131" w:rsidP="004B25DA">
      <w:pPr>
        <w:jc w:val="both"/>
        <w:rPr>
          <w:rFonts w:ascii="Arial" w:hAnsi="Arial" w:cs="Arial"/>
          <w:sz w:val="22"/>
          <w:szCs w:val="22"/>
          <w:lang w:eastAsia="en-US"/>
        </w:rPr>
      </w:pPr>
      <w:proofErr w:type="spellStart"/>
      <w:r>
        <w:rPr>
          <w:rFonts w:ascii="Arial" w:hAnsi="Arial" w:cs="Arial"/>
          <w:sz w:val="22"/>
          <w:szCs w:val="22"/>
          <w:lang w:eastAsia="en-US"/>
        </w:rPr>
        <w:t>Portmoak</w:t>
      </w:r>
      <w:proofErr w:type="spellEnd"/>
      <w:r>
        <w:rPr>
          <w:rFonts w:ascii="Arial" w:hAnsi="Arial" w:cs="Arial"/>
          <w:sz w:val="22"/>
          <w:szCs w:val="22"/>
          <w:lang w:eastAsia="en-US"/>
        </w:rPr>
        <w:t xml:space="preserve"> CC</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Councillor Ian Campbell, Leader of Partnership Administration</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Councillor Murray Lyle, Convener of Planning and Development Management Committee</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Councillor Colin Stewart, Convener Environment &amp; Infrastructure Committee</w:t>
      </w:r>
    </w:p>
    <w:p w:rsidR="00D07131" w:rsidRDefault="00D07131" w:rsidP="004B25DA">
      <w:pPr>
        <w:jc w:val="both"/>
        <w:rPr>
          <w:rFonts w:ascii="Arial" w:hAnsi="Arial" w:cs="Arial"/>
          <w:sz w:val="22"/>
          <w:szCs w:val="22"/>
          <w:lang w:eastAsia="en-US"/>
        </w:rPr>
      </w:pPr>
    </w:p>
    <w:p w:rsidR="00D07131" w:rsidRDefault="00D07131" w:rsidP="004B25DA">
      <w:pPr>
        <w:jc w:val="both"/>
        <w:rPr>
          <w:rFonts w:ascii="Arial" w:hAnsi="Arial" w:cs="Arial"/>
          <w:sz w:val="22"/>
          <w:szCs w:val="22"/>
          <w:lang w:eastAsia="en-US"/>
        </w:rPr>
      </w:pPr>
    </w:p>
    <w:p w:rsidR="00D07131" w:rsidRDefault="00D07131" w:rsidP="004B25DA">
      <w:pPr>
        <w:jc w:val="both"/>
        <w:rPr>
          <w:rFonts w:ascii="Arial" w:hAnsi="Arial" w:cs="Arial"/>
          <w:sz w:val="22"/>
          <w:szCs w:val="22"/>
          <w:lang w:eastAsia="en-US"/>
        </w:rPr>
      </w:pPr>
      <w:r w:rsidRPr="005F10FA">
        <w:rPr>
          <w:rFonts w:ascii="Arial" w:hAnsi="Arial" w:cs="Arial"/>
          <w:sz w:val="22"/>
          <w:szCs w:val="22"/>
          <w:u w:val="single"/>
          <w:lang w:eastAsia="en-US"/>
        </w:rPr>
        <w:t>Background Correspondence</w:t>
      </w:r>
      <w:r>
        <w:rPr>
          <w:rFonts w:ascii="Arial" w:hAnsi="Arial" w:cs="Arial"/>
          <w:sz w:val="22"/>
          <w:szCs w:val="22"/>
          <w:lang w:eastAsia="en-US"/>
        </w:rPr>
        <w:t>:</w:t>
      </w:r>
    </w:p>
    <w:p w:rsidR="00D07131" w:rsidRDefault="00D07131" w:rsidP="004B25DA">
      <w:pPr>
        <w:jc w:val="both"/>
        <w:rPr>
          <w:rFonts w:ascii="Arial" w:hAnsi="Arial" w:cs="Arial"/>
          <w:sz w:val="22"/>
          <w:szCs w:val="22"/>
          <w:lang w:eastAsia="en-US"/>
        </w:rPr>
      </w:pPr>
    </w:p>
    <w:p w:rsidR="00D07131" w:rsidRDefault="00D07131" w:rsidP="004B25DA">
      <w:pPr>
        <w:jc w:val="both"/>
        <w:rPr>
          <w:rFonts w:ascii="Arial" w:hAnsi="Arial" w:cs="Arial"/>
          <w:sz w:val="22"/>
          <w:szCs w:val="22"/>
          <w:lang w:eastAsia="en-US"/>
        </w:rPr>
      </w:pPr>
      <w:r>
        <w:rPr>
          <w:rFonts w:ascii="Arial" w:hAnsi="Arial" w:cs="Arial"/>
          <w:sz w:val="22"/>
          <w:szCs w:val="22"/>
          <w:lang w:eastAsia="en-US"/>
        </w:rPr>
        <w:t>MB’s letter to Forward Planning 14/7 and 31/8/17 on LDP2</w:t>
      </w:r>
    </w:p>
    <w:p w:rsidR="00D07131" w:rsidRDefault="00983913" w:rsidP="004B25DA">
      <w:pPr>
        <w:jc w:val="both"/>
        <w:rPr>
          <w:rFonts w:ascii="Arial" w:hAnsi="Arial" w:cs="Arial"/>
          <w:sz w:val="22"/>
          <w:szCs w:val="22"/>
          <w:lang w:eastAsia="en-US"/>
        </w:rPr>
      </w:pPr>
      <w:r>
        <w:rPr>
          <w:rFonts w:ascii="Arial" w:hAnsi="Arial" w:cs="Arial"/>
          <w:sz w:val="22"/>
          <w:szCs w:val="22"/>
          <w:lang w:eastAsia="en-US"/>
        </w:rPr>
        <w:t>K</w:t>
      </w:r>
      <w:r w:rsidR="00D07131">
        <w:rPr>
          <w:rFonts w:ascii="Arial" w:hAnsi="Arial" w:cs="Arial"/>
          <w:sz w:val="22"/>
          <w:szCs w:val="22"/>
          <w:lang w:eastAsia="en-US"/>
        </w:rPr>
        <w:t>CT’s letter of 25/1/18 to LDP team</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MB’s letter of 31/8/17 re Renewable Energy Supplementary Guidance and Enclosures</w:t>
      </w:r>
    </w:p>
    <w:p w:rsidR="00D07131" w:rsidRDefault="00D07131" w:rsidP="004B25DA">
      <w:pPr>
        <w:jc w:val="both"/>
        <w:rPr>
          <w:rFonts w:ascii="Arial" w:hAnsi="Arial" w:cs="Arial"/>
          <w:sz w:val="22"/>
          <w:szCs w:val="22"/>
          <w:lang w:eastAsia="en-US"/>
        </w:rPr>
      </w:pPr>
      <w:proofErr w:type="spellStart"/>
      <w:r>
        <w:rPr>
          <w:rFonts w:ascii="Arial" w:hAnsi="Arial" w:cs="Arial"/>
          <w:sz w:val="22"/>
          <w:szCs w:val="22"/>
          <w:lang w:eastAsia="en-US"/>
        </w:rPr>
        <w:t>Fossoway</w:t>
      </w:r>
      <w:proofErr w:type="spellEnd"/>
      <w:r>
        <w:rPr>
          <w:rFonts w:ascii="Arial" w:hAnsi="Arial" w:cs="Arial"/>
          <w:sz w:val="22"/>
          <w:szCs w:val="22"/>
          <w:lang w:eastAsia="en-US"/>
        </w:rPr>
        <w:t xml:space="preserve"> Strategy Group Maps</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MB’s Kinross Newsletter article on A977 mitigation and LDP2 (Feb 18)</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MB’s email of 4/8/15 to Peter Marshall</w:t>
      </w:r>
    </w:p>
    <w:p w:rsidR="00D07131" w:rsidRDefault="00D07131" w:rsidP="004B25DA">
      <w:pPr>
        <w:jc w:val="both"/>
        <w:rPr>
          <w:rFonts w:ascii="Arial" w:hAnsi="Arial" w:cs="Arial"/>
          <w:sz w:val="22"/>
          <w:szCs w:val="22"/>
          <w:lang w:eastAsia="en-US"/>
        </w:rPr>
      </w:pPr>
      <w:r>
        <w:rPr>
          <w:rFonts w:ascii="Arial" w:hAnsi="Arial" w:cs="Arial"/>
          <w:sz w:val="22"/>
          <w:szCs w:val="22"/>
          <w:lang w:eastAsia="en-US"/>
        </w:rPr>
        <w:t>MB’s letter to residents 3/11/17</w:t>
      </w:r>
    </w:p>
    <w:p w:rsidR="00D07131" w:rsidRDefault="00D07131" w:rsidP="004B25DA">
      <w:pPr>
        <w:jc w:val="both"/>
        <w:rPr>
          <w:rFonts w:ascii="Arial" w:hAnsi="Arial" w:cs="Arial"/>
          <w:sz w:val="22"/>
          <w:szCs w:val="22"/>
          <w:lang w:eastAsia="en-US"/>
        </w:rPr>
      </w:pPr>
      <w:proofErr w:type="spellStart"/>
      <w:proofErr w:type="gramStart"/>
      <w:r>
        <w:rPr>
          <w:rFonts w:ascii="Arial" w:hAnsi="Arial" w:cs="Arial"/>
          <w:sz w:val="22"/>
          <w:szCs w:val="22"/>
          <w:lang w:eastAsia="en-US"/>
        </w:rPr>
        <w:t>Cleish</w:t>
      </w:r>
      <w:proofErr w:type="spellEnd"/>
      <w:r>
        <w:rPr>
          <w:rFonts w:ascii="Arial" w:hAnsi="Arial" w:cs="Arial"/>
          <w:sz w:val="22"/>
          <w:szCs w:val="22"/>
          <w:lang w:eastAsia="en-US"/>
        </w:rPr>
        <w:t xml:space="preserve"> and </w:t>
      </w:r>
      <w:proofErr w:type="spellStart"/>
      <w:r>
        <w:rPr>
          <w:rFonts w:ascii="Arial" w:hAnsi="Arial" w:cs="Arial"/>
          <w:sz w:val="22"/>
          <w:szCs w:val="22"/>
          <w:lang w:eastAsia="en-US"/>
        </w:rPr>
        <w:t>Blairadam</w:t>
      </w:r>
      <w:proofErr w:type="spellEnd"/>
      <w:r>
        <w:rPr>
          <w:rFonts w:ascii="Arial" w:hAnsi="Arial" w:cs="Arial"/>
          <w:sz w:val="22"/>
          <w:szCs w:val="22"/>
          <w:lang w:eastAsia="en-US"/>
        </w:rPr>
        <w:t xml:space="preserve"> CC’s letter of 31/1/18</w:t>
      </w:r>
      <w:r w:rsidR="008566CC">
        <w:rPr>
          <w:rFonts w:ascii="Arial" w:hAnsi="Arial" w:cs="Arial"/>
          <w:sz w:val="22"/>
          <w:szCs w:val="22"/>
          <w:lang w:eastAsia="en-US"/>
        </w:rPr>
        <w:t xml:space="preserve"> to LDP team.</w:t>
      </w:r>
      <w:proofErr w:type="gramEnd"/>
    </w:p>
    <w:sectPr w:rsidR="00D07131" w:rsidSect="00D3209A">
      <w:pgSz w:w="11907" w:h="16840" w:code="9"/>
      <w:pgMar w:top="1800" w:right="1440" w:bottom="720" w:left="1440" w:header="720" w:footer="288"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06" w:rsidRDefault="00D27106" w:rsidP="00DC7A02">
      <w:r>
        <w:separator/>
      </w:r>
    </w:p>
  </w:endnote>
  <w:endnote w:type="continuationSeparator" w:id="0">
    <w:p w:rsidR="00D27106" w:rsidRDefault="00D2710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06" w:rsidRDefault="00D27106" w:rsidP="00DC7A02">
      <w:r>
        <w:separator/>
      </w:r>
    </w:p>
  </w:footnote>
  <w:footnote w:type="continuationSeparator" w:id="0">
    <w:p w:rsidR="00D27106" w:rsidRDefault="00D27106" w:rsidP="00DC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4"/>
    <w:rsid w:val="0008534F"/>
    <w:rsid w:val="000D682A"/>
    <w:rsid w:val="000E1A2F"/>
    <w:rsid w:val="000E507F"/>
    <w:rsid w:val="000E6DDD"/>
    <w:rsid w:val="000F236C"/>
    <w:rsid w:val="000F6E36"/>
    <w:rsid w:val="00105952"/>
    <w:rsid w:val="001314E0"/>
    <w:rsid w:val="00153847"/>
    <w:rsid w:val="00161DE4"/>
    <w:rsid w:val="00162B14"/>
    <w:rsid w:val="00183BCF"/>
    <w:rsid w:val="001903CA"/>
    <w:rsid w:val="001945E7"/>
    <w:rsid w:val="001A5221"/>
    <w:rsid w:val="001F0EA0"/>
    <w:rsid w:val="00233BD9"/>
    <w:rsid w:val="00271ED1"/>
    <w:rsid w:val="00294BC0"/>
    <w:rsid w:val="002A525C"/>
    <w:rsid w:val="002C23D5"/>
    <w:rsid w:val="002D3AEC"/>
    <w:rsid w:val="003141F4"/>
    <w:rsid w:val="00315627"/>
    <w:rsid w:val="00347B83"/>
    <w:rsid w:val="00350885"/>
    <w:rsid w:val="0035539A"/>
    <w:rsid w:val="00397738"/>
    <w:rsid w:val="003E1486"/>
    <w:rsid w:val="003F67FF"/>
    <w:rsid w:val="00406D19"/>
    <w:rsid w:val="00413FBA"/>
    <w:rsid w:val="00491D8A"/>
    <w:rsid w:val="004B25DA"/>
    <w:rsid w:val="004B79F1"/>
    <w:rsid w:val="004C63BB"/>
    <w:rsid w:val="00501769"/>
    <w:rsid w:val="00530F8B"/>
    <w:rsid w:val="00553349"/>
    <w:rsid w:val="005B4D01"/>
    <w:rsid w:val="005D2414"/>
    <w:rsid w:val="005D26F2"/>
    <w:rsid w:val="005E7199"/>
    <w:rsid w:val="005F10FA"/>
    <w:rsid w:val="005F5626"/>
    <w:rsid w:val="0062203F"/>
    <w:rsid w:val="00645B18"/>
    <w:rsid w:val="0067244E"/>
    <w:rsid w:val="00673E2A"/>
    <w:rsid w:val="0069283A"/>
    <w:rsid w:val="006B56DC"/>
    <w:rsid w:val="006C6D89"/>
    <w:rsid w:val="006C70E5"/>
    <w:rsid w:val="006C7601"/>
    <w:rsid w:val="006D7360"/>
    <w:rsid w:val="006F4512"/>
    <w:rsid w:val="0070765E"/>
    <w:rsid w:val="007240C0"/>
    <w:rsid w:val="00734F7A"/>
    <w:rsid w:val="00751EB1"/>
    <w:rsid w:val="00774ED3"/>
    <w:rsid w:val="00792D78"/>
    <w:rsid w:val="007C48E6"/>
    <w:rsid w:val="007F0AD4"/>
    <w:rsid w:val="00820A3D"/>
    <w:rsid w:val="00841530"/>
    <w:rsid w:val="008421C7"/>
    <w:rsid w:val="00847926"/>
    <w:rsid w:val="008566CC"/>
    <w:rsid w:val="008623D1"/>
    <w:rsid w:val="008918DC"/>
    <w:rsid w:val="00893980"/>
    <w:rsid w:val="008B1264"/>
    <w:rsid w:val="008C131C"/>
    <w:rsid w:val="008C1356"/>
    <w:rsid w:val="008D4301"/>
    <w:rsid w:val="008E30B5"/>
    <w:rsid w:val="008E7688"/>
    <w:rsid w:val="0090406E"/>
    <w:rsid w:val="00922492"/>
    <w:rsid w:val="00923353"/>
    <w:rsid w:val="0093796B"/>
    <w:rsid w:val="00983913"/>
    <w:rsid w:val="009851D0"/>
    <w:rsid w:val="00997AE8"/>
    <w:rsid w:val="009A7DF8"/>
    <w:rsid w:val="009B5771"/>
    <w:rsid w:val="009D4BAA"/>
    <w:rsid w:val="009F0B51"/>
    <w:rsid w:val="00A04718"/>
    <w:rsid w:val="00A559D2"/>
    <w:rsid w:val="00A90894"/>
    <w:rsid w:val="00A942E9"/>
    <w:rsid w:val="00AA15A4"/>
    <w:rsid w:val="00AF2DDA"/>
    <w:rsid w:val="00B01FED"/>
    <w:rsid w:val="00B23B24"/>
    <w:rsid w:val="00B5119D"/>
    <w:rsid w:val="00BC66E1"/>
    <w:rsid w:val="00BD509B"/>
    <w:rsid w:val="00BE6FD7"/>
    <w:rsid w:val="00C1784A"/>
    <w:rsid w:val="00C73F85"/>
    <w:rsid w:val="00C76ABC"/>
    <w:rsid w:val="00C93987"/>
    <w:rsid w:val="00C95744"/>
    <w:rsid w:val="00CA2769"/>
    <w:rsid w:val="00CB06FF"/>
    <w:rsid w:val="00CB1E0B"/>
    <w:rsid w:val="00CC2AC0"/>
    <w:rsid w:val="00D07131"/>
    <w:rsid w:val="00D117D0"/>
    <w:rsid w:val="00D16398"/>
    <w:rsid w:val="00D27106"/>
    <w:rsid w:val="00D3209A"/>
    <w:rsid w:val="00D36333"/>
    <w:rsid w:val="00D62222"/>
    <w:rsid w:val="00D66199"/>
    <w:rsid w:val="00D71E9B"/>
    <w:rsid w:val="00D77C33"/>
    <w:rsid w:val="00DA6E04"/>
    <w:rsid w:val="00DB5B16"/>
    <w:rsid w:val="00DC176D"/>
    <w:rsid w:val="00DC2B7A"/>
    <w:rsid w:val="00DC7A02"/>
    <w:rsid w:val="00DD475E"/>
    <w:rsid w:val="00DF5ACE"/>
    <w:rsid w:val="00E045BA"/>
    <w:rsid w:val="00E20AD5"/>
    <w:rsid w:val="00E54CA1"/>
    <w:rsid w:val="00E67C56"/>
    <w:rsid w:val="00E750EF"/>
    <w:rsid w:val="00EB793B"/>
    <w:rsid w:val="00ED4BD4"/>
    <w:rsid w:val="00EE1F9F"/>
    <w:rsid w:val="00EE4D81"/>
    <w:rsid w:val="00EF4C8E"/>
    <w:rsid w:val="00EF5BDC"/>
    <w:rsid w:val="00F4053A"/>
    <w:rsid w:val="00F40EB4"/>
    <w:rsid w:val="00F83279"/>
    <w:rsid w:val="00F929F0"/>
    <w:rsid w:val="00FB3054"/>
    <w:rsid w:val="00FF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uiPriority w:val="99"/>
    <w:rsid w:val="00DC7A02"/>
    <w:pPr>
      <w:tabs>
        <w:tab w:val="center" w:pos="4513"/>
        <w:tab w:val="right" w:pos="9026"/>
      </w:tabs>
    </w:pPr>
  </w:style>
  <w:style w:type="character" w:customStyle="1" w:styleId="FooterChar">
    <w:name w:val="Footer Char"/>
    <w:basedOn w:val="DefaultParagraphFont"/>
    <w:link w:val="Footer"/>
    <w:uiPriority w:val="99"/>
    <w:rsid w:val="00DC7A02"/>
  </w:style>
  <w:style w:type="paragraph" w:styleId="ListParagraph">
    <w:name w:val="List Paragraph"/>
    <w:basedOn w:val="Normal"/>
    <w:uiPriority w:val="34"/>
    <w:qFormat/>
    <w:rsid w:val="00DC7A02"/>
    <w:pPr>
      <w:ind w:left="720"/>
    </w:pPr>
  </w:style>
  <w:style w:type="character" w:styleId="CommentReference">
    <w:name w:val="annotation reference"/>
    <w:basedOn w:val="DefaultParagraphFont"/>
    <w:rsid w:val="00C93987"/>
    <w:rPr>
      <w:sz w:val="16"/>
      <w:szCs w:val="16"/>
    </w:rPr>
  </w:style>
  <w:style w:type="paragraph" w:styleId="CommentText">
    <w:name w:val="annotation text"/>
    <w:basedOn w:val="Normal"/>
    <w:link w:val="CommentTextChar"/>
    <w:rsid w:val="00C93987"/>
  </w:style>
  <w:style w:type="character" w:customStyle="1" w:styleId="CommentTextChar">
    <w:name w:val="Comment Text Char"/>
    <w:basedOn w:val="DefaultParagraphFont"/>
    <w:link w:val="CommentText"/>
    <w:rsid w:val="00C93987"/>
  </w:style>
  <w:style w:type="paragraph" w:styleId="CommentSubject">
    <w:name w:val="annotation subject"/>
    <w:basedOn w:val="CommentText"/>
    <w:next w:val="CommentText"/>
    <w:link w:val="CommentSubjectChar"/>
    <w:rsid w:val="00C93987"/>
    <w:rPr>
      <w:b/>
      <w:bCs/>
    </w:rPr>
  </w:style>
  <w:style w:type="character" w:customStyle="1" w:styleId="CommentSubjectChar">
    <w:name w:val="Comment Subject Char"/>
    <w:basedOn w:val="CommentTextChar"/>
    <w:link w:val="CommentSubject"/>
    <w:rsid w:val="00C939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uiPriority w:val="99"/>
    <w:rsid w:val="00DC7A02"/>
    <w:pPr>
      <w:tabs>
        <w:tab w:val="center" w:pos="4513"/>
        <w:tab w:val="right" w:pos="9026"/>
      </w:tabs>
    </w:pPr>
  </w:style>
  <w:style w:type="character" w:customStyle="1" w:styleId="FooterChar">
    <w:name w:val="Footer Char"/>
    <w:basedOn w:val="DefaultParagraphFont"/>
    <w:link w:val="Footer"/>
    <w:uiPriority w:val="99"/>
    <w:rsid w:val="00DC7A02"/>
  </w:style>
  <w:style w:type="paragraph" w:styleId="ListParagraph">
    <w:name w:val="List Paragraph"/>
    <w:basedOn w:val="Normal"/>
    <w:uiPriority w:val="34"/>
    <w:qFormat/>
    <w:rsid w:val="00DC7A02"/>
    <w:pPr>
      <w:ind w:left="720"/>
    </w:pPr>
  </w:style>
  <w:style w:type="character" w:styleId="CommentReference">
    <w:name w:val="annotation reference"/>
    <w:basedOn w:val="DefaultParagraphFont"/>
    <w:rsid w:val="00C93987"/>
    <w:rPr>
      <w:sz w:val="16"/>
      <w:szCs w:val="16"/>
    </w:rPr>
  </w:style>
  <w:style w:type="paragraph" w:styleId="CommentText">
    <w:name w:val="annotation text"/>
    <w:basedOn w:val="Normal"/>
    <w:link w:val="CommentTextChar"/>
    <w:rsid w:val="00C93987"/>
  </w:style>
  <w:style w:type="character" w:customStyle="1" w:styleId="CommentTextChar">
    <w:name w:val="Comment Text Char"/>
    <w:basedOn w:val="DefaultParagraphFont"/>
    <w:link w:val="CommentText"/>
    <w:rsid w:val="00C93987"/>
  </w:style>
  <w:style w:type="paragraph" w:styleId="CommentSubject">
    <w:name w:val="annotation subject"/>
    <w:basedOn w:val="CommentText"/>
    <w:next w:val="CommentText"/>
    <w:link w:val="CommentSubjectChar"/>
    <w:rsid w:val="00C93987"/>
    <w:rPr>
      <w:b/>
      <w:bCs/>
    </w:rPr>
  </w:style>
  <w:style w:type="character" w:customStyle="1" w:styleId="CommentSubjectChar">
    <w:name w:val="Comment Subject Char"/>
    <w:basedOn w:val="CommentTextChar"/>
    <w:link w:val="CommentSubject"/>
    <w:rsid w:val="00C93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4665">
      <w:bodyDiv w:val="1"/>
      <w:marLeft w:val="0"/>
      <w:marRight w:val="0"/>
      <w:marTop w:val="0"/>
      <w:marBottom w:val="0"/>
      <w:divBdr>
        <w:top w:val="none" w:sz="0" w:space="0" w:color="auto"/>
        <w:left w:val="none" w:sz="0" w:space="0" w:color="auto"/>
        <w:bottom w:val="none" w:sz="0" w:space="0" w:color="auto"/>
        <w:right w:val="none" w:sz="0" w:space="0" w:color="auto"/>
      </w:divBdr>
    </w:div>
    <w:div w:id="731733483">
      <w:bodyDiv w:val="1"/>
      <w:marLeft w:val="0"/>
      <w:marRight w:val="0"/>
      <w:marTop w:val="0"/>
      <w:marBottom w:val="0"/>
      <w:divBdr>
        <w:top w:val="none" w:sz="0" w:space="0" w:color="auto"/>
        <w:left w:val="none" w:sz="0" w:space="0" w:color="auto"/>
        <w:bottom w:val="none" w:sz="0" w:space="0" w:color="auto"/>
        <w:right w:val="none" w:sz="0" w:space="0" w:color="auto"/>
      </w:divBdr>
    </w:div>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 w:id="1833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kc.gov.uk" TargetMode="External"/><Relationship Id="rId4" Type="http://schemas.microsoft.com/office/2007/relationships/stylesWithEffects" Target="stylesWithEffects.xml"/><Relationship Id="rId9" Type="http://schemas.openxmlformats.org/officeDocument/2006/relationships/hyperlink" Target="mailto:mbarnacle@pkc.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1A3F-476E-4F62-A9CC-CCCA3093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109</TotalTime>
  <Pages>7</Pages>
  <Words>2061</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13472</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Linda Chalmers</cp:lastModifiedBy>
  <cp:revision>59</cp:revision>
  <cp:lastPrinted>2018-02-02T13:59:00Z</cp:lastPrinted>
  <dcterms:created xsi:type="dcterms:W3CDTF">2018-02-02T11:28:00Z</dcterms:created>
  <dcterms:modified xsi:type="dcterms:W3CDTF">2018-02-02T14:25:00Z</dcterms:modified>
</cp:coreProperties>
</file>